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F55C9" w14:textId="77777777" w:rsidR="009B7614" w:rsidRDefault="009B7614">
      <w:pPr>
        <w:rPr>
          <w:b/>
          <w:sz w:val="28"/>
        </w:rPr>
      </w:pPr>
      <w:bookmarkStart w:id="0" w:name="_GoBack"/>
      <w:bookmarkEnd w:id="0"/>
    </w:p>
    <w:p w14:paraId="08FAE780" w14:textId="77777777" w:rsidR="009B7614" w:rsidRDefault="009B7614">
      <w:pPr>
        <w:rPr>
          <w:b/>
          <w:sz w:val="28"/>
        </w:rPr>
      </w:pPr>
    </w:p>
    <w:p w14:paraId="1C8FC70F" w14:textId="77777777" w:rsidR="009B7614" w:rsidRDefault="009B7614">
      <w:pPr>
        <w:rPr>
          <w:b/>
          <w:sz w:val="28"/>
        </w:rPr>
      </w:pPr>
    </w:p>
    <w:p w14:paraId="52D44EB5" w14:textId="77777777" w:rsidR="009B7614" w:rsidRDefault="009B7614">
      <w:pPr>
        <w:rPr>
          <w:b/>
          <w:sz w:val="28"/>
        </w:rPr>
      </w:pPr>
    </w:p>
    <w:p w14:paraId="35DC61CD" w14:textId="77777777" w:rsidR="009B7614" w:rsidRPr="009B7614" w:rsidRDefault="009B7614" w:rsidP="009B7614">
      <w:pPr>
        <w:jc w:val="center"/>
        <w:rPr>
          <w:rFonts w:asciiTheme="majorHAnsi" w:hAnsiTheme="majorHAnsi"/>
          <w:b/>
          <w:sz w:val="32"/>
          <w:szCs w:val="32"/>
        </w:rPr>
      </w:pPr>
    </w:p>
    <w:p w14:paraId="62A0CC76" w14:textId="77777777" w:rsidR="009B7614" w:rsidRPr="009B7614" w:rsidRDefault="009B7614" w:rsidP="009B7614">
      <w:pPr>
        <w:jc w:val="center"/>
        <w:rPr>
          <w:rFonts w:asciiTheme="majorHAnsi" w:hAnsiTheme="majorHAnsi"/>
          <w:b/>
          <w:sz w:val="32"/>
          <w:szCs w:val="32"/>
        </w:rPr>
      </w:pPr>
      <w:r w:rsidRPr="009B7614">
        <w:rPr>
          <w:rFonts w:asciiTheme="majorHAnsi" w:hAnsiTheme="majorHAnsi"/>
          <w:b/>
          <w:sz w:val="32"/>
          <w:szCs w:val="32"/>
          <w:lang w:val="en-CA"/>
        </w:rPr>
        <w:t>The Role of Academic Research in Policymaking</w:t>
      </w:r>
      <w:r w:rsidRPr="009B7614">
        <w:rPr>
          <w:rFonts w:asciiTheme="majorHAnsi" w:hAnsiTheme="majorHAnsi"/>
          <w:b/>
          <w:sz w:val="32"/>
          <w:szCs w:val="32"/>
        </w:rPr>
        <w:t>:</w:t>
      </w:r>
    </w:p>
    <w:p w14:paraId="4DD0C6A6" w14:textId="77777777" w:rsidR="009B7614" w:rsidRPr="009B7614" w:rsidRDefault="009B7614" w:rsidP="009B7614">
      <w:pPr>
        <w:jc w:val="center"/>
        <w:rPr>
          <w:rFonts w:asciiTheme="majorHAnsi" w:hAnsiTheme="majorHAnsi"/>
          <w:b/>
          <w:sz w:val="32"/>
          <w:szCs w:val="32"/>
        </w:rPr>
      </w:pPr>
      <w:r w:rsidRPr="009B7614">
        <w:rPr>
          <w:rFonts w:asciiTheme="majorHAnsi" w:hAnsiTheme="majorHAnsi"/>
          <w:b/>
          <w:sz w:val="32"/>
          <w:szCs w:val="32"/>
        </w:rPr>
        <w:t>Insights from Complementary Surveys.</w:t>
      </w:r>
    </w:p>
    <w:p w14:paraId="5D61AAD7" w14:textId="77777777" w:rsidR="009B7614" w:rsidRDefault="009B7614" w:rsidP="009B7614">
      <w:pPr>
        <w:jc w:val="center"/>
        <w:rPr>
          <w:b/>
          <w:sz w:val="28"/>
        </w:rPr>
      </w:pPr>
    </w:p>
    <w:p w14:paraId="06E3E076" w14:textId="77777777" w:rsidR="009B7614" w:rsidRDefault="009B7614" w:rsidP="009B7614">
      <w:pPr>
        <w:jc w:val="center"/>
        <w:rPr>
          <w:b/>
          <w:sz w:val="28"/>
        </w:rPr>
      </w:pPr>
    </w:p>
    <w:p w14:paraId="6F26C6FC" w14:textId="77777777" w:rsidR="009B7614" w:rsidRDefault="009B7614" w:rsidP="009B7614">
      <w:pPr>
        <w:jc w:val="center"/>
        <w:rPr>
          <w:b/>
          <w:sz w:val="28"/>
        </w:rPr>
      </w:pPr>
    </w:p>
    <w:p w14:paraId="3DACB39F" w14:textId="77777777" w:rsidR="009B7614" w:rsidRDefault="009B7614" w:rsidP="009B7614">
      <w:pPr>
        <w:jc w:val="center"/>
        <w:rPr>
          <w:b/>
          <w:sz w:val="28"/>
        </w:rPr>
      </w:pPr>
    </w:p>
    <w:p w14:paraId="2573C131" w14:textId="77777777" w:rsidR="009B7614" w:rsidRDefault="009B7614" w:rsidP="009B7614">
      <w:pPr>
        <w:jc w:val="center"/>
        <w:rPr>
          <w:sz w:val="28"/>
        </w:rPr>
      </w:pPr>
      <w:r>
        <w:rPr>
          <w:sz w:val="28"/>
        </w:rPr>
        <w:t xml:space="preserve">By: </w:t>
      </w:r>
    </w:p>
    <w:p w14:paraId="64C733E3" w14:textId="77777777" w:rsidR="009B7614" w:rsidRDefault="009B7614" w:rsidP="009B7614">
      <w:pPr>
        <w:jc w:val="center"/>
        <w:rPr>
          <w:sz w:val="28"/>
        </w:rPr>
      </w:pPr>
    </w:p>
    <w:p w14:paraId="491E896B" w14:textId="77777777" w:rsidR="009B7614" w:rsidRDefault="009B7614" w:rsidP="009B7614">
      <w:pPr>
        <w:jc w:val="center"/>
        <w:rPr>
          <w:sz w:val="28"/>
        </w:rPr>
      </w:pPr>
      <w:r>
        <w:rPr>
          <w:sz w:val="28"/>
        </w:rPr>
        <w:t>Andrea Migone</w:t>
      </w:r>
    </w:p>
    <w:p w14:paraId="338AB4AC" w14:textId="77777777" w:rsidR="009B7614" w:rsidRDefault="009B7614" w:rsidP="009B7614">
      <w:pPr>
        <w:jc w:val="center"/>
        <w:rPr>
          <w:sz w:val="28"/>
        </w:rPr>
      </w:pPr>
      <w:r>
        <w:rPr>
          <w:sz w:val="28"/>
        </w:rPr>
        <w:t xml:space="preserve">Institute of Public Administration </w:t>
      </w:r>
    </w:p>
    <w:p w14:paraId="6B420C6A" w14:textId="77777777" w:rsidR="009B7614" w:rsidRDefault="009B7614" w:rsidP="009B7614">
      <w:pPr>
        <w:jc w:val="center"/>
        <w:rPr>
          <w:sz w:val="28"/>
        </w:rPr>
      </w:pPr>
      <w:r>
        <w:rPr>
          <w:sz w:val="28"/>
        </w:rPr>
        <w:t>of Canada</w:t>
      </w:r>
    </w:p>
    <w:p w14:paraId="5FE327DB" w14:textId="77777777" w:rsidR="009B7614" w:rsidRDefault="009B7614" w:rsidP="009B7614">
      <w:pPr>
        <w:jc w:val="center"/>
        <w:rPr>
          <w:sz w:val="28"/>
        </w:rPr>
      </w:pPr>
    </w:p>
    <w:p w14:paraId="287CE563" w14:textId="77777777" w:rsidR="009B7614" w:rsidRDefault="009B7614" w:rsidP="009B7614">
      <w:pPr>
        <w:jc w:val="center"/>
        <w:rPr>
          <w:sz w:val="28"/>
        </w:rPr>
      </w:pPr>
      <w:r>
        <w:rPr>
          <w:sz w:val="28"/>
        </w:rPr>
        <w:t>&amp;</w:t>
      </w:r>
    </w:p>
    <w:p w14:paraId="5A78BEDC" w14:textId="77777777" w:rsidR="009B7614" w:rsidRDefault="009B7614" w:rsidP="009B7614">
      <w:pPr>
        <w:jc w:val="center"/>
        <w:rPr>
          <w:sz w:val="28"/>
        </w:rPr>
      </w:pPr>
    </w:p>
    <w:p w14:paraId="653EEB17" w14:textId="77777777" w:rsidR="009B7614" w:rsidRDefault="009B7614" w:rsidP="009B7614">
      <w:pPr>
        <w:jc w:val="center"/>
        <w:rPr>
          <w:sz w:val="28"/>
        </w:rPr>
      </w:pPr>
      <w:r>
        <w:rPr>
          <w:sz w:val="28"/>
        </w:rPr>
        <w:t xml:space="preserve">Kathy L. Brock, </w:t>
      </w:r>
    </w:p>
    <w:p w14:paraId="39CDC425" w14:textId="77777777" w:rsidR="009B7614" w:rsidRDefault="009B7614" w:rsidP="009B7614">
      <w:pPr>
        <w:jc w:val="center"/>
        <w:rPr>
          <w:sz w:val="28"/>
        </w:rPr>
      </w:pPr>
      <w:r>
        <w:rPr>
          <w:sz w:val="28"/>
        </w:rPr>
        <w:t>School of Policy Studies</w:t>
      </w:r>
    </w:p>
    <w:p w14:paraId="25EAA3C6" w14:textId="77777777" w:rsidR="009B7614" w:rsidRDefault="009B7614" w:rsidP="009B7614">
      <w:pPr>
        <w:jc w:val="center"/>
        <w:rPr>
          <w:sz w:val="28"/>
        </w:rPr>
      </w:pPr>
      <w:r>
        <w:rPr>
          <w:sz w:val="28"/>
        </w:rPr>
        <w:t>Queen’s University</w:t>
      </w:r>
    </w:p>
    <w:p w14:paraId="35999EB9" w14:textId="77777777" w:rsidR="009B7614" w:rsidRDefault="009B7614" w:rsidP="009B7614">
      <w:pPr>
        <w:jc w:val="center"/>
        <w:rPr>
          <w:sz w:val="28"/>
        </w:rPr>
      </w:pPr>
    </w:p>
    <w:p w14:paraId="616AF719" w14:textId="77777777" w:rsidR="009B7614" w:rsidRDefault="009B7614" w:rsidP="009B7614">
      <w:pPr>
        <w:jc w:val="center"/>
        <w:rPr>
          <w:sz w:val="28"/>
        </w:rPr>
      </w:pPr>
    </w:p>
    <w:p w14:paraId="5F965664" w14:textId="77777777" w:rsidR="009B7614" w:rsidRDefault="009B7614" w:rsidP="009B7614">
      <w:pPr>
        <w:jc w:val="center"/>
        <w:rPr>
          <w:sz w:val="28"/>
        </w:rPr>
      </w:pPr>
    </w:p>
    <w:p w14:paraId="257D3224" w14:textId="77777777" w:rsidR="009B7614" w:rsidRDefault="009B7614" w:rsidP="009B7614">
      <w:r>
        <w:t>Abstract</w:t>
      </w:r>
    </w:p>
    <w:p w14:paraId="4EF95390" w14:textId="77777777" w:rsidR="009B7614" w:rsidRDefault="009B7614" w:rsidP="009B7614"/>
    <w:p w14:paraId="4E0795E6" w14:textId="77777777" w:rsidR="009B7614" w:rsidRPr="00ED66D7" w:rsidRDefault="009B7614" w:rsidP="009B7614">
      <w:pPr>
        <w:rPr>
          <w:i/>
        </w:rPr>
      </w:pPr>
      <w:r>
        <w:t xml:space="preserve"> </w:t>
      </w:r>
      <w:r>
        <w:rPr>
          <w:i/>
        </w:rPr>
        <w:t>This article explores the area of research engagement between two very important communities in the Canadian public policy landscape: academics and senior public service executives. Using data from two surveys we argue that the two communities live in a ‘marriage of indifference’ situation. While there does not seem to be a strong cleavage between the two groups, they also tend to come together mostly under very specific conditions.</w:t>
      </w:r>
    </w:p>
    <w:p w14:paraId="140E898D" w14:textId="77777777" w:rsidR="009B7614" w:rsidRDefault="009B7614" w:rsidP="009B7614"/>
    <w:p w14:paraId="0CBF9668" w14:textId="77777777" w:rsidR="009B7614" w:rsidRDefault="009B7614" w:rsidP="009B7614">
      <w:pPr>
        <w:jc w:val="center"/>
        <w:rPr>
          <w:sz w:val="28"/>
        </w:rPr>
      </w:pPr>
    </w:p>
    <w:p w14:paraId="2CF9BF64" w14:textId="77777777" w:rsidR="009B7614" w:rsidRDefault="009B7614" w:rsidP="009B7614">
      <w:pPr>
        <w:jc w:val="center"/>
        <w:rPr>
          <w:sz w:val="28"/>
        </w:rPr>
      </w:pPr>
    </w:p>
    <w:p w14:paraId="04302E3B" w14:textId="77777777" w:rsidR="009B7614" w:rsidRDefault="009B7614" w:rsidP="009B7614">
      <w:pPr>
        <w:rPr>
          <w:sz w:val="28"/>
        </w:rPr>
      </w:pPr>
    </w:p>
    <w:p w14:paraId="476A4B2D" w14:textId="77777777" w:rsidR="009B7614" w:rsidRDefault="009B7614" w:rsidP="009B7614">
      <w:pPr>
        <w:rPr>
          <w:b/>
          <w:sz w:val="28"/>
        </w:rPr>
      </w:pPr>
      <w:r>
        <w:t xml:space="preserve">A paper presented at the </w:t>
      </w:r>
      <w:r>
        <w:rPr>
          <w:lang w:val="en-CA"/>
        </w:rPr>
        <w:t>Fifth Annual CAPPA Conference being held at ÉNAP, Quebec City, May 2016</w:t>
      </w:r>
      <w:r>
        <w:rPr>
          <w:b/>
          <w:sz w:val="28"/>
        </w:rPr>
        <w:br w:type="page"/>
      </w:r>
    </w:p>
    <w:p w14:paraId="53D2CA99" w14:textId="77777777" w:rsidR="009B7614" w:rsidRDefault="009B7614" w:rsidP="009B7614">
      <w:pPr>
        <w:jc w:val="center"/>
        <w:rPr>
          <w:b/>
          <w:sz w:val="28"/>
        </w:rPr>
      </w:pPr>
    </w:p>
    <w:p w14:paraId="58B333D6" w14:textId="77777777" w:rsidR="009B7614" w:rsidRDefault="009B7614">
      <w:pPr>
        <w:rPr>
          <w:b/>
          <w:sz w:val="28"/>
        </w:rPr>
      </w:pPr>
    </w:p>
    <w:p w14:paraId="6DD873ED" w14:textId="77777777" w:rsidR="009B7614" w:rsidRDefault="009B7614">
      <w:pPr>
        <w:rPr>
          <w:b/>
          <w:sz w:val="28"/>
        </w:rPr>
      </w:pPr>
    </w:p>
    <w:p w14:paraId="23E44D7A" w14:textId="77777777" w:rsidR="009B7614" w:rsidRDefault="009B7614" w:rsidP="009B7614">
      <w:pPr>
        <w:jc w:val="center"/>
        <w:rPr>
          <w:b/>
          <w:sz w:val="28"/>
        </w:rPr>
      </w:pPr>
      <w:r w:rsidRPr="009B7614">
        <w:rPr>
          <w:rFonts w:asciiTheme="majorHAnsi" w:hAnsiTheme="majorHAnsi"/>
          <w:b/>
          <w:sz w:val="32"/>
          <w:szCs w:val="32"/>
          <w:lang w:val="en-CA"/>
        </w:rPr>
        <w:t>The Role of Academic Research in Policymaking</w:t>
      </w:r>
    </w:p>
    <w:p w14:paraId="087CF6E6" w14:textId="77777777" w:rsidR="003F43B3" w:rsidRDefault="003F43B3"/>
    <w:p w14:paraId="3D188429" w14:textId="77777777" w:rsidR="009B7614" w:rsidRDefault="009B7614"/>
    <w:p w14:paraId="7092F1FB" w14:textId="77777777" w:rsidR="009B7614" w:rsidRDefault="009B7614"/>
    <w:p w14:paraId="505A2943" w14:textId="77777777" w:rsidR="008E14DE" w:rsidRDefault="008E14DE" w:rsidP="0066295F">
      <w:pPr>
        <w:spacing w:line="360" w:lineRule="auto"/>
      </w:pPr>
    </w:p>
    <w:p w14:paraId="2DEDCB94" w14:textId="77777777" w:rsidR="008E14DE" w:rsidRDefault="008E14DE" w:rsidP="0066295F">
      <w:pPr>
        <w:spacing w:line="360" w:lineRule="auto"/>
      </w:pPr>
      <w:r>
        <w:rPr>
          <w:b/>
        </w:rPr>
        <w:t>Introduction</w:t>
      </w:r>
    </w:p>
    <w:p w14:paraId="16A7B73F" w14:textId="77777777" w:rsidR="00792F1E" w:rsidRDefault="0053040F" w:rsidP="00792F1E">
      <w:pPr>
        <w:spacing w:line="360" w:lineRule="auto"/>
      </w:pPr>
      <w:r>
        <w:t xml:space="preserve">In the </w:t>
      </w:r>
      <w:r w:rsidR="00C83DA1">
        <w:t xml:space="preserve">political science </w:t>
      </w:r>
      <w:r w:rsidR="00981E16">
        <w:t>literature</w:t>
      </w:r>
      <w:r>
        <w:t xml:space="preserve"> there are various voices, both anecdot</w:t>
      </w:r>
      <w:r w:rsidR="00214993">
        <w:t>al and analytical that describe</w:t>
      </w:r>
      <w:r>
        <w:t xml:space="preserve"> </w:t>
      </w:r>
      <w:r w:rsidR="00981E16">
        <w:t>the challenges in establishing solid</w:t>
      </w:r>
      <w:r>
        <w:t xml:space="preserve"> engagement</w:t>
      </w:r>
      <w:r w:rsidR="00981E16">
        <w:t xml:space="preserve"> between</w:t>
      </w:r>
      <w:r>
        <w:t xml:space="preserve"> the academic community </w:t>
      </w:r>
      <w:r w:rsidR="00142786">
        <w:t xml:space="preserve">on the one hand </w:t>
      </w:r>
      <w:r w:rsidR="00981E16">
        <w:t>and</w:t>
      </w:r>
      <w:r>
        <w:t xml:space="preserve"> government and administrative officials</w:t>
      </w:r>
      <w:r w:rsidR="00C83DA1">
        <w:t xml:space="preserve"> on the other</w:t>
      </w:r>
      <w:r w:rsidR="00981E16">
        <w:t xml:space="preserve">. </w:t>
      </w:r>
      <w:r w:rsidR="00142786">
        <w:t>It is also clear that they exist in a relational state and the nature of that relationship is the focus of this article.</w:t>
      </w:r>
    </w:p>
    <w:p w14:paraId="3B2DB47E" w14:textId="77777777" w:rsidR="009B7614" w:rsidRDefault="009B7614" w:rsidP="00792F1E">
      <w:pPr>
        <w:spacing w:line="360" w:lineRule="auto"/>
      </w:pPr>
    </w:p>
    <w:p w14:paraId="63721FFC" w14:textId="77777777" w:rsidR="00142786" w:rsidRDefault="00C83DA1" w:rsidP="00792F1E">
      <w:pPr>
        <w:spacing w:line="360" w:lineRule="auto"/>
      </w:pPr>
      <w:r>
        <w:t xml:space="preserve">Undoubtedly, the two communities have different goals and methodologies. How they relate </w:t>
      </w:r>
      <w:r w:rsidR="00792F1E">
        <w:t>raises</w:t>
      </w:r>
      <w:r w:rsidR="0053040F">
        <w:t xml:space="preserve"> a variety of questions </w:t>
      </w:r>
      <w:r>
        <w:t>such as what is</w:t>
      </w:r>
      <w:r w:rsidR="0053040F">
        <w:t xml:space="preserve"> the role of evidence-based policy making in the public sector, </w:t>
      </w:r>
      <w:r>
        <w:t>or whether academia can</w:t>
      </w:r>
      <w:r w:rsidR="0053040F">
        <w:t xml:space="preserve"> remain relevant to </w:t>
      </w:r>
      <w:r w:rsidR="00E254E9">
        <w:t>administrative work, especially at a time when Schools of Public Policy a</w:t>
      </w:r>
      <w:r>
        <w:t>nd Public Administration appear</w:t>
      </w:r>
      <w:r w:rsidR="00E254E9">
        <w:t xml:space="preserve"> to be increasingly </w:t>
      </w:r>
      <w:r>
        <w:t>central</w:t>
      </w:r>
      <w:r w:rsidR="00981E16">
        <w:t xml:space="preserve"> in the educational landscape</w:t>
      </w:r>
      <w:r w:rsidR="009B7614">
        <w:t>.</w:t>
      </w:r>
    </w:p>
    <w:p w14:paraId="2C41FB10" w14:textId="77777777" w:rsidR="00DB2BC3" w:rsidRDefault="00DB2BC3" w:rsidP="00792F1E">
      <w:pPr>
        <w:spacing w:line="360" w:lineRule="auto"/>
      </w:pPr>
    </w:p>
    <w:p w14:paraId="7A495998" w14:textId="77777777" w:rsidR="00CB2F87" w:rsidRDefault="00142786" w:rsidP="0066295F">
      <w:pPr>
        <w:spacing w:line="360" w:lineRule="auto"/>
      </w:pPr>
      <w:r>
        <w:t>A fair amount of research looks at e</w:t>
      </w:r>
      <w:r w:rsidR="00CB2F87">
        <w:t>vidence-based pol</w:t>
      </w:r>
      <w:r w:rsidR="00A4171C">
        <w:t>icy-</w:t>
      </w:r>
      <w:r w:rsidR="00CB2F87">
        <w:t xml:space="preserve">making </w:t>
      </w:r>
      <w:r w:rsidR="00904713">
        <w:t>(Jennings and Hall 2012</w:t>
      </w:r>
      <w:r w:rsidR="00A4171C">
        <w:t>; Howlett and Newman 2010; Likens, 2010; Lingard 2013; Head 2014</w:t>
      </w:r>
      <w:r w:rsidR="00904713">
        <w:t>)</w:t>
      </w:r>
      <w:r w:rsidR="00A4171C">
        <w:t xml:space="preserve">. </w:t>
      </w:r>
      <w:r w:rsidR="00792F1E">
        <w:t xml:space="preserve">The </w:t>
      </w:r>
      <w:r w:rsidR="00A4171C">
        <w:t>approach</w:t>
      </w:r>
      <w:r w:rsidR="009F3F44">
        <w:t xml:space="preserve"> looms large in the Canadian and international contexts (</w:t>
      </w:r>
      <w:r w:rsidR="009F3F44" w:rsidRPr="00301515">
        <w:t xml:space="preserve">Vishwanath </w:t>
      </w:r>
      <w:r w:rsidR="009F3F44">
        <w:t>and Hakem Zadeh</w:t>
      </w:r>
      <w:r w:rsidR="009F3F44" w:rsidRPr="00301515">
        <w:t xml:space="preserve"> 2012</w:t>
      </w:r>
      <w:r w:rsidR="009F3F44">
        <w:t>; Young 2013)</w:t>
      </w:r>
      <w:r w:rsidR="00CB2F87">
        <w:t xml:space="preserve"> </w:t>
      </w:r>
      <w:r w:rsidR="009F3F44">
        <w:t xml:space="preserve">and yet, </w:t>
      </w:r>
      <w:r w:rsidR="00CB2F87">
        <w:t>over the years, various authors have looked at the actual results and found a gap between promise and results (</w:t>
      </w:r>
      <w:r w:rsidR="0010172C">
        <w:t xml:space="preserve">Head 2010a; </w:t>
      </w:r>
      <w:r w:rsidR="00666A1C" w:rsidRPr="00CB2F87">
        <w:t>Corbett</w:t>
      </w:r>
      <w:r w:rsidR="00666A1C">
        <w:t xml:space="preserve"> </w:t>
      </w:r>
      <w:r w:rsidR="00666A1C" w:rsidRPr="00CB2F87">
        <w:t>and Bogenschneider</w:t>
      </w:r>
      <w:r w:rsidR="00CB2F87">
        <w:t xml:space="preserve"> </w:t>
      </w:r>
      <w:r w:rsidR="00CB2F87" w:rsidRPr="00CB2F87">
        <w:t xml:space="preserve"> 2011</w:t>
      </w:r>
      <w:r w:rsidR="0010172C">
        <w:t>;</w:t>
      </w:r>
      <w:r w:rsidR="0010172C" w:rsidRPr="0010172C">
        <w:rPr>
          <w:rFonts w:eastAsia="PMingLiU"/>
          <w:szCs w:val="20"/>
          <w:lang w:val="en-CA" w:eastAsia="zh-TW"/>
        </w:rPr>
        <w:t xml:space="preserve"> </w:t>
      </w:r>
      <w:r w:rsidR="0010172C">
        <w:rPr>
          <w:rFonts w:eastAsia="PMingLiU"/>
          <w:szCs w:val="20"/>
          <w:lang w:val="en-CA" w:eastAsia="zh-TW"/>
        </w:rPr>
        <w:t xml:space="preserve">Cartwright and </w:t>
      </w:r>
      <w:r w:rsidR="0010172C" w:rsidRPr="002F0F7C">
        <w:rPr>
          <w:rFonts w:eastAsia="PMingLiU"/>
          <w:szCs w:val="20"/>
          <w:lang w:val="en-CA" w:eastAsia="zh-TW"/>
        </w:rPr>
        <w:t>Hardi</w:t>
      </w:r>
      <w:r w:rsidR="00847937">
        <w:rPr>
          <w:rFonts w:eastAsia="PMingLiU"/>
          <w:szCs w:val="20"/>
          <w:lang w:val="en-CA" w:eastAsia="zh-TW"/>
        </w:rPr>
        <w:t>e</w:t>
      </w:r>
      <w:r w:rsidR="0010172C" w:rsidRPr="002F0F7C">
        <w:rPr>
          <w:rFonts w:eastAsia="PMingLiU"/>
          <w:szCs w:val="20"/>
          <w:lang w:val="en-CA" w:eastAsia="zh-TW"/>
        </w:rPr>
        <w:t xml:space="preserve"> </w:t>
      </w:r>
      <w:r w:rsidR="0010172C">
        <w:rPr>
          <w:rFonts w:eastAsia="PMingLiU"/>
          <w:szCs w:val="20"/>
          <w:lang w:val="en-CA" w:eastAsia="zh-TW"/>
        </w:rPr>
        <w:t>2012</w:t>
      </w:r>
      <w:r w:rsidR="009F3F44">
        <w:rPr>
          <w:rFonts w:eastAsia="PMingLiU"/>
          <w:szCs w:val="20"/>
          <w:lang w:val="en-CA" w:eastAsia="zh-TW"/>
        </w:rPr>
        <w:t>;</w:t>
      </w:r>
      <w:r w:rsidR="009F3F44" w:rsidRPr="009F3F44">
        <w:t xml:space="preserve"> </w:t>
      </w:r>
      <w:r w:rsidR="009F3F44">
        <w:t>Hammersley 2013</w:t>
      </w:r>
      <w:r w:rsidR="00CB2F87">
        <w:t xml:space="preserve">) and </w:t>
      </w:r>
      <w:r w:rsidR="0000043C">
        <w:t>highlighted</w:t>
      </w:r>
      <w:r w:rsidR="00CB2F87">
        <w:t xml:space="preserve"> the very complex nature and approaches to the subject matter of diverse policy communities (i.e., academia, government, NGOs) which makes enduring and frequent contacts difficult to establish (Head 2015</w:t>
      </w:r>
      <w:r w:rsidR="00831C7A">
        <w:t>a</w:t>
      </w:r>
      <w:r w:rsidR="00CB2F87">
        <w:t xml:space="preserve">; Head </w:t>
      </w:r>
      <w:r w:rsidR="00CB2F87">
        <w:rPr>
          <w:i/>
        </w:rPr>
        <w:t>et al</w:t>
      </w:r>
      <w:r w:rsidR="00CB2F87">
        <w:t xml:space="preserve"> 2014)</w:t>
      </w:r>
      <w:r w:rsidR="00CB2F87" w:rsidRPr="00CB2F87">
        <w:t>.</w:t>
      </w:r>
      <w:r w:rsidR="00880A8D">
        <w:t xml:space="preserve"> The emergence of the concept of a research-policy gap has in itself </w:t>
      </w:r>
      <w:r w:rsidR="00880A8D">
        <w:lastRenderedPageBreak/>
        <w:t>stimulated a thriving academic publishing niche (</w:t>
      </w:r>
      <w:r w:rsidR="00E20F1F">
        <w:t xml:space="preserve">Head 2010b; </w:t>
      </w:r>
      <w:r w:rsidR="00472323">
        <w:t xml:space="preserve">Khan </w:t>
      </w:r>
      <w:r w:rsidR="00472323">
        <w:rPr>
          <w:i/>
        </w:rPr>
        <w:t xml:space="preserve">et al </w:t>
      </w:r>
      <w:r w:rsidR="00472323">
        <w:t xml:space="preserve">2014; </w:t>
      </w:r>
      <w:r w:rsidR="00880A8D">
        <w:t xml:space="preserve">Cherney </w:t>
      </w:r>
      <w:r w:rsidR="00880A8D">
        <w:rPr>
          <w:i/>
        </w:rPr>
        <w:t xml:space="preserve">et </w:t>
      </w:r>
      <w:proofErr w:type="gramStart"/>
      <w:r w:rsidR="00880A8D">
        <w:rPr>
          <w:i/>
        </w:rPr>
        <w:t xml:space="preserve">al </w:t>
      </w:r>
      <w:r w:rsidR="00880A8D">
        <w:t xml:space="preserve"> 2012</w:t>
      </w:r>
      <w:proofErr w:type="gramEnd"/>
      <w:r w:rsidR="00880A8D">
        <w:t xml:space="preserve">; </w:t>
      </w:r>
      <w:r w:rsidR="00880A8D">
        <w:rPr>
          <w:rFonts w:eastAsia="PMingLiU"/>
          <w:szCs w:val="20"/>
          <w:lang w:eastAsia="zh-TW"/>
        </w:rPr>
        <w:t>Newman 2014</w:t>
      </w:r>
      <w:r w:rsidR="000D791D">
        <w:rPr>
          <w:rFonts w:eastAsia="PMingLiU"/>
          <w:szCs w:val="20"/>
          <w:lang w:eastAsia="zh-TW"/>
        </w:rPr>
        <w:t xml:space="preserve">; </w:t>
      </w:r>
      <w:r w:rsidR="000D791D" w:rsidRPr="000D791D">
        <w:rPr>
          <w:rFonts w:eastAsia="PMingLiU"/>
          <w:szCs w:val="20"/>
          <w:lang w:eastAsia="zh-TW"/>
        </w:rPr>
        <w:t>van der Arend 2014</w:t>
      </w:r>
      <w:r w:rsidR="00880A8D">
        <w:rPr>
          <w:rFonts w:eastAsia="PMingLiU"/>
          <w:szCs w:val="20"/>
          <w:lang w:eastAsia="zh-TW"/>
        </w:rPr>
        <w:t xml:space="preserve">). </w:t>
      </w:r>
      <w:r w:rsidR="00880A8D">
        <w:t xml:space="preserve"> </w:t>
      </w:r>
    </w:p>
    <w:p w14:paraId="6AFF12AE" w14:textId="77777777" w:rsidR="00DB2BC3" w:rsidRDefault="00DB2BC3" w:rsidP="0066295F">
      <w:pPr>
        <w:spacing w:line="360" w:lineRule="auto"/>
      </w:pPr>
    </w:p>
    <w:p w14:paraId="567C7DCB" w14:textId="77777777" w:rsidR="006C12B1" w:rsidRDefault="00A4171C" w:rsidP="002763FE">
      <w:pPr>
        <w:spacing w:line="360" w:lineRule="auto"/>
      </w:pPr>
      <w:r>
        <w:t xml:space="preserve">While this is an interesting line of analysis, here we wish to focus on a different approach. In </w:t>
      </w:r>
      <w:proofErr w:type="gramStart"/>
      <w:r>
        <w:t>particular</w:t>
      </w:r>
      <w:proofErr w:type="gramEnd"/>
      <w:r>
        <w:t xml:space="preserve"> we look at how these two communities, which we can describe as both </w:t>
      </w:r>
      <w:r w:rsidR="00695D5F">
        <w:t>including leaders in the field</w:t>
      </w:r>
      <w:r w:rsidR="00DB2BC3">
        <w:t xml:space="preserve">, interact with one another. </w:t>
      </w:r>
      <w:r>
        <w:t>When we embarked in this research project, we knew anecdotally that the connections between academia and the public service had become cooler in the last decade. At the same time, there is no doubt that the rise of concepts like performance management and evidence-based policy-making had created a demand for policy advice and research</w:t>
      </w:r>
      <w:r w:rsidR="00E254E9">
        <w:t xml:space="preserve"> (</w:t>
      </w:r>
      <w:r w:rsidR="009A3D6C">
        <w:t>Ho</w:t>
      </w:r>
      <w:r>
        <w:t xml:space="preserve">wlett and Migone 2014; Howlett </w:t>
      </w:r>
      <w:r w:rsidR="009A3D6C">
        <w:t xml:space="preserve">and </w:t>
      </w:r>
      <w:r>
        <w:t>Newmann 2010</w:t>
      </w:r>
      <w:r w:rsidR="00E254E9">
        <w:t>).</w:t>
      </w:r>
      <w:r>
        <w:t xml:space="preserve"> We had a two-fold goal:</w:t>
      </w:r>
      <w:r w:rsidR="002763FE">
        <w:t xml:space="preserve"> first we wanted to assess the type of relationships that existed between </w:t>
      </w:r>
      <w:r w:rsidR="008A7181">
        <w:t>these two communities</w:t>
      </w:r>
      <w:r w:rsidR="002763FE">
        <w:t>. Second we wanted to explore the reasons underpinning these relations</w:t>
      </w:r>
      <w:r w:rsidR="008A7181">
        <w:t>.</w:t>
      </w:r>
      <w:r w:rsidR="00186B89">
        <w:t xml:space="preserve"> </w:t>
      </w:r>
      <w:r w:rsidR="002763FE">
        <w:t>These are our operational</w:t>
      </w:r>
      <w:r w:rsidR="006C12B1">
        <w:t xml:space="preserve"> hypotheses:</w:t>
      </w:r>
    </w:p>
    <w:p w14:paraId="00F2B3D6" w14:textId="77777777" w:rsidR="006C12B1" w:rsidRDefault="006C12B1" w:rsidP="0066295F">
      <w:pPr>
        <w:spacing w:line="360" w:lineRule="auto"/>
      </w:pPr>
    </w:p>
    <w:p w14:paraId="79E9B91C" w14:textId="77777777" w:rsidR="006C12B1" w:rsidRDefault="006C12B1" w:rsidP="0066295F">
      <w:pPr>
        <w:pStyle w:val="Pardeliste"/>
        <w:numPr>
          <w:ilvl w:val="0"/>
          <w:numId w:val="2"/>
        </w:numPr>
        <w:spacing w:line="360" w:lineRule="auto"/>
      </w:pPr>
      <w:r w:rsidRPr="006C12B1">
        <w:rPr>
          <w:b/>
        </w:rPr>
        <w:t>HYP 1</w:t>
      </w:r>
      <w:r>
        <w:t xml:space="preserve">: </w:t>
      </w:r>
      <w:r w:rsidR="002763FE">
        <w:t xml:space="preserve">we argue that </w:t>
      </w:r>
      <w:r w:rsidR="002763FE">
        <w:rPr>
          <w:i/>
        </w:rPr>
        <w:t>academia is not the primary provider of advice and research for public servants</w:t>
      </w:r>
      <w:r w:rsidR="003315C8">
        <w:t>;</w:t>
      </w:r>
      <w:r>
        <w:t xml:space="preserve"> </w:t>
      </w:r>
    </w:p>
    <w:p w14:paraId="166F52FF" w14:textId="77777777" w:rsidR="002763FE" w:rsidRDefault="002763FE" w:rsidP="0066295F">
      <w:pPr>
        <w:spacing w:line="360" w:lineRule="auto"/>
      </w:pPr>
      <w:r>
        <w:t>We believe that this situation depends on a variety of interconnected factors. These include the regulatory frameworks that have affected research and communication approaches. Aside from internal rules, we should note the 2009 Government of Canada Communication Strategy and the Tri-Council Ethics Policy. A second factor that we believe affects the first hypothesis is the increased ‘political’ control over the activities of individual public servants. (making them less likely to bear the scrutiny associated with new research). Finally, we believe that a general dissonance between the focus and timing of academic research and the research that is most useful to public servants may affect this relationship.</w:t>
      </w:r>
    </w:p>
    <w:p w14:paraId="47CFCE56" w14:textId="77777777" w:rsidR="002763FE" w:rsidRDefault="002763FE" w:rsidP="0066295F">
      <w:pPr>
        <w:spacing w:line="360" w:lineRule="auto"/>
      </w:pPr>
    </w:p>
    <w:p w14:paraId="0A2BA0F2" w14:textId="77777777" w:rsidR="00084339" w:rsidRDefault="002763FE" w:rsidP="00084339">
      <w:pPr>
        <w:pStyle w:val="Pardeliste"/>
        <w:numPr>
          <w:ilvl w:val="0"/>
          <w:numId w:val="3"/>
        </w:numPr>
        <w:spacing w:line="360" w:lineRule="auto"/>
      </w:pPr>
      <w:r w:rsidRPr="002763FE">
        <w:rPr>
          <w:b/>
        </w:rPr>
        <w:t xml:space="preserve">HYP </w:t>
      </w:r>
      <w:r>
        <w:rPr>
          <w:b/>
        </w:rPr>
        <w:t>2</w:t>
      </w:r>
      <w:r>
        <w:t xml:space="preserve">: we argue that </w:t>
      </w:r>
      <w:r>
        <w:rPr>
          <w:i/>
        </w:rPr>
        <w:t>the level of the jurisdiction (i.e., Federal as opposed to Provincial or Territorial) should matter in the type of relationship.</w:t>
      </w:r>
    </w:p>
    <w:p w14:paraId="46CA2660" w14:textId="77777777" w:rsidR="00084339" w:rsidRDefault="00084339" w:rsidP="002763FE">
      <w:pPr>
        <w:spacing w:line="360" w:lineRule="auto"/>
      </w:pPr>
      <w:r>
        <w:lastRenderedPageBreak/>
        <w:t>We believe that the two levels have cognate but different approaches to research and capacities. This should function to produce detectable differences in approach.</w:t>
      </w:r>
    </w:p>
    <w:p w14:paraId="542F0F22" w14:textId="77777777" w:rsidR="00084339" w:rsidRDefault="00084339" w:rsidP="002763FE">
      <w:pPr>
        <w:spacing w:line="360" w:lineRule="auto"/>
      </w:pPr>
    </w:p>
    <w:p w14:paraId="2C647886" w14:textId="77777777" w:rsidR="00084339" w:rsidRDefault="00084339" w:rsidP="00084339">
      <w:pPr>
        <w:pStyle w:val="Pardeliste"/>
        <w:numPr>
          <w:ilvl w:val="0"/>
          <w:numId w:val="3"/>
        </w:numPr>
        <w:spacing w:line="360" w:lineRule="auto"/>
      </w:pPr>
      <w:r w:rsidRPr="00084339">
        <w:rPr>
          <w:b/>
        </w:rPr>
        <w:t xml:space="preserve">HYP </w:t>
      </w:r>
      <w:r>
        <w:rPr>
          <w:b/>
        </w:rPr>
        <w:t>3</w:t>
      </w:r>
      <w:r>
        <w:t xml:space="preserve">: we argue that </w:t>
      </w:r>
      <w:r>
        <w:rPr>
          <w:i/>
        </w:rPr>
        <w:t>the topic areas should matter.</w:t>
      </w:r>
    </w:p>
    <w:p w14:paraId="2570791C" w14:textId="77777777" w:rsidR="00084339" w:rsidRDefault="00084339" w:rsidP="00084339">
      <w:pPr>
        <w:spacing w:line="360" w:lineRule="auto"/>
      </w:pPr>
      <w:r>
        <w:t>Topic areas should matter because with an increased focus on outsourcing knowledge production by the public service the favored model to obtain research has been contracting. As attention cycles and the need for specific pools of knowledge change, the public service is more likely to solicit certain types of information.</w:t>
      </w:r>
    </w:p>
    <w:p w14:paraId="66E2E523" w14:textId="77777777" w:rsidR="00084339" w:rsidRDefault="00084339" w:rsidP="00084339">
      <w:pPr>
        <w:spacing w:line="360" w:lineRule="auto"/>
      </w:pPr>
    </w:p>
    <w:p w14:paraId="297D51DF" w14:textId="77777777" w:rsidR="006C12B1" w:rsidRDefault="00084339" w:rsidP="00084339">
      <w:pPr>
        <w:pStyle w:val="Pardeliste"/>
        <w:numPr>
          <w:ilvl w:val="0"/>
          <w:numId w:val="3"/>
        </w:numPr>
        <w:spacing w:line="360" w:lineRule="auto"/>
      </w:pPr>
      <w:r w:rsidRPr="00084339">
        <w:rPr>
          <w:b/>
        </w:rPr>
        <w:t xml:space="preserve">HYP </w:t>
      </w:r>
      <w:r>
        <w:rPr>
          <w:b/>
        </w:rPr>
        <w:t>4</w:t>
      </w:r>
      <w:r>
        <w:t xml:space="preserve">: we argue that, because of the often-different focus of academic research and public service research, </w:t>
      </w:r>
      <w:r>
        <w:rPr>
          <w:i/>
        </w:rPr>
        <w:t>research engagement will likely be highly concentrated in a small group of academics.</w:t>
      </w:r>
    </w:p>
    <w:p w14:paraId="47BAAFE7" w14:textId="77777777" w:rsidR="006C12B1" w:rsidRDefault="00084339" w:rsidP="0066295F">
      <w:pPr>
        <w:spacing w:line="360" w:lineRule="auto"/>
      </w:pPr>
      <w:proofErr w:type="gramStart"/>
      <w:r>
        <w:t>Finally</w:t>
      </w:r>
      <w:proofErr w:type="gramEnd"/>
      <w:r>
        <w:t xml:space="preserve"> we believe that because of the shift from knowledge production to knowledge management noted above, the public service is more receptive to a ‘consulting’ model of outsourcing. Often, the latter is relatively different from the activities of academics. Therefore, we believe that academics will be comparatively disadvantaged in this market.</w:t>
      </w:r>
    </w:p>
    <w:p w14:paraId="5FFB0D3A" w14:textId="77777777" w:rsidR="006C12B1" w:rsidRDefault="006C12B1" w:rsidP="0066295F">
      <w:pPr>
        <w:spacing w:line="360" w:lineRule="auto"/>
      </w:pPr>
    </w:p>
    <w:p w14:paraId="3D3761E2" w14:textId="77777777" w:rsidR="00186B89" w:rsidRDefault="00186B89" w:rsidP="0066295F">
      <w:pPr>
        <w:spacing w:line="360" w:lineRule="auto"/>
      </w:pPr>
      <w:r>
        <w:t xml:space="preserve">We hope that this effort will encourage further discussion about </w:t>
      </w:r>
      <w:r w:rsidR="002763FE">
        <w:t>these relationships</w:t>
      </w:r>
      <w:r w:rsidR="00727BB3">
        <w:t xml:space="preserve">. </w:t>
      </w:r>
      <w:r>
        <w:t xml:space="preserve">The article is organized </w:t>
      </w:r>
      <w:r w:rsidRPr="005B58C6">
        <w:t xml:space="preserve">in </w:t>
      </w:r>
      <w:r w:rsidR="005B58C6" w:rsidRPr="005B58C6">
        <w:t xml:space="preserve">three </w:t>
      </w:r>
      <w:r w:rsidRPr="005B58C6">
        <w:t>sections. The next</w:t>
      </w:r>
      <w:r>
        <w:t xml:space="preserve"> one </w:t>
      </w:r>
      <w:r w:rsidR="00084339">
        <w:t>offers a quick introduction to</w:t>
      </w:r>
      <w:r>
        <w:t xml:space="preserve"> the nature of our surveys. The following section</w:t>
      </w:r>
      <w:r w:rsidR="005B58C6">
        <w:t xml:space="preserve"> draws out some of </w:t>
      </w:r>
      <w:r w:rsidR="00084339">
        <w:t xml:space="preserve">the </w:t>
      </w:r>
      <w:r w:rsidR="005B58C6">
        <w:t xml:space="preserve">more interesting comparative results from the preceding data, and finally some conclusions are offered. </w:t>
      </w:r>
    </w:p>
    <w:p w14:paraId="10B2DF97" w14:textId="77777777" w:rsidR="00186B89" w:rsidRDefault="00186B89" w:rsidP="0066295F">
      <w:pPr>
        <w:spacing w:line="360" w:lineRule="auto"/>
      </w:pPr>
    </w:p>
    <w:p w14:paraId="39385815" w14:textId="77777777" w:rsidR="008E14DE" w:rsidRDefault="008E14DE" w:rsidP="0066295F">
      <w:pPr>
        <w:spacing w:line="360" w:lineRule="auto"/>
      </w:pPr>
      <w:r>
        <w:rPr>
          <w:b/>
        </w:rPr>
        <w:t xml:space="preserve">The Surveys and </w:t>
      </w:r>
      <w:r w:rsidR="00186B89">
        <w:rPr>
          <w:b/>
        </w:rPr>
        <w:t>Respondents’ Profiles</w:t>
      </w:r>
    </w:p>
    <w:p w14:paraId="4197E842" w14:textId="77777777" w:rsidR="00DB2BC3" w:rsidRDefault="00DB2BC3" w:rsidP="0066295F">
      <w:pPr>
        <w:spacing w:line="360" w:lineRule="auto"/>
      </w:pPr>
    </w:p>
    <w:p w14:paraId="7BB60284" w14:textId="77777777" w:rsidR="0066295F" w:rsidRDefault="00214993" w:rsidP="0066295F">
      <w:pPr>
        <w:spacing w:line="360" w:lineRule="auto"/>
      </w:pPr>
      <w:r w:rsidRPr="00214993">
        <w:t>In mid-2014, the Institute of Public Administration of Canada (IPAC) launched its latest survey of senior executives</w:t>
      </w:r>
      <w:r w:rsidR="009D00A1">
        <w:t xml:space="preserve"> (Deputy Ministers, Chief Administrative Officer of major cities, and Chairs, CEOs and Heads of agencies, boards and committees)</w:t>
      </w:r>
      <w:r w:rsidRPr="00214993">
        <w:t xml:space="preserve">. </w:t>
      </w:r>
      <w:r w:rsidRPr="00214993">
        <w:lastRenderedPageBreak/>
        <w:t xml:space="preserve">Among the inquiries that the survey contained, two sets of questions were designed to measure the type, depth, and frequency of engagement that existed between the academic community and practitioners.  </w:t>
      </w:r>
      <w:r>
        <w:t>During</w:t>
      </w:r>
      <w:r w:rsidR="0066295F">
        <w:t xml:space="preserve"> May 2015</w:t>
      </w:r>
      <w:r>
        <w:t>, a</w:t>
      </w:r>
      <w:r w:rsidR="0066295F">
        <w:t xml:space="preserve"> </w:t>
      </w:r>
      <w:r w:rsidR="00FC429D">
        <w:t>second survey was administer</w:t>
      </w:r>
      <w:r w:rsidR="00451F47">
        <w:t>ed to academics, who specialize</w:t>
      </w:r>
      <w:r w:rsidR="00FC429D">
        <w:t xml:space="preserve"> in public policy</w:t>
      </w:r>
      <w:r>
        <w:t>, public administration,</w:t>
      </w:r>
      <w:r w:rsidR="00FC429D">
        <w:t xml:space="preserve"> and politi</w:t>
      </w:r>
      <w:r>
        <w:t>cal science. Besides</w:t>
      </w:r>
      <w:r w:rsidR="00FC429D">
        <w:t xml:space="preserve"> mirroring the two questions that were asked in the public </w:t>
      </w:r>
      <w:proofErr w:type="gramStart"/>
      <w:r w:rsidR="00FC429D">
        <w:t>executives</w:t>
      </w:r>
      <w:proofErr w:type="gramEnd"/>
      <w:r w:rsidR="00FC429D">
        <w:t xml:space="preserve"> survey about engagement, </w:t>
      </w:r>
      <w:r>
        <w:t xml:space="preserve">the latter survey </w:t>
      </w:r>
      <w:r w:rsidR="00FC429D">
        <w:t xml:space="preserve">also expanded on the terms of engagement, contracting and connection between the two communities. </w:t>
      </w:r>
    </w:p>
    <w:p w14:paraId="108B7A4B" w14:textId="77777777" w:rsidR="0066295F" w:rsidRDefault="0066295F" w:rsidP="0066295F">
      <w:pPr>
        <w:spacing w:line="360" w:lineRule="auto"/>
      </w:pPr>
    </w:p>
    <w:p w14:paraId="51DF37EE" w14:textId="77777777" w:rsidR="006703F1" w:rsidRDefault="008E14DE" w:rsidP="0066295F">
      <w:pPr>
        <w:spacing w:line="360" w:lineRule="auto"/>
      </w:pPr>
      <w:r>
        <w:t xml:space="preserve">The </w:t>
      </w:r>
      <w:r w:rsidRPr="008E14DE">
        <w:t xml:space="preserve">2014 survey </w:t>
      </w:r>
      <w:r>
        <w:t>covers</w:t>
      </w:r>
      <w:r w:rsidRPr="008E14DE">
        <w:t xml:space="preserve"> four countries: Canada, Australia, New Zeala</w:t>
      </w:r>
      <w:r w:rsidR="00214993">
        <w:t>nd and the United Arab Emirates</w:t>
      </w:r>
      <w:r w:rsidR="006874E4">
        <w:t xml:space="preserve">. </w:t>
      </w:r>
      <w:r w:rsidRPr="008E14DE">
        <w:t>Each of the four countries response sets accounts for 25% of the weight in the model.</w:t>
      </w:r>
      <w:r w:rsidR="00214993">
        <w:rPr>
          <w:rStyle w:val="Appelnotedebasdep"/>
        </w:rPr>
        <w:footnoteReference w:id="1"/>
      </w:r>
      <w:r w:rsidR="006703F1">
        <w:t xml:space="preserve"> </w:t>
      </w:r>
      <w:r w:rsidRPr="008E14DE">
        <w:t>The following response rates were obtained</w:t>
      </w:r>
      <w:r w:rsidR="006703F1">
        <w:t xml:space="preserve"> for the Canadian samples</w:t>
      </w:r>
      <w:r w:rsidRPr="008E14DE">
        <w:t xml:space="preserve">. </w:t>
      </w:r>
      <w:r w:rsidR="00420C69">
        <w:rPr>
          <w:rStyle w:val="Appelnotedebasdep"/>
        </w:rPr>
        <w:footnoteReference w:id="2"/>
      </w:r>
    </w:p>
    <w:p w14:paraId="7B719780" w14:textId="77777777" w:rsidR="006703F1" w:rsidRDefault="006703F1" w:rsidP="008E14DE">
      <w:pPr>
        <w:pStyle w:val="Notedefin"/>
      </w:pPr>
    </w:p>
    <w:p w14:paraId="4FCDF4DF" w14:textId="77777777" w:rsidR="008E14DE" w:rsidRPr="006703F1" w:rsidRDefault="006703F1" w:rsidP="008E14DE">
      <w:pPr>
        <w:pStyle w:val="Notedefin"/>
        <w:rPr>
          <w:i/>
        </w:rPr>
      </w:pPr>
      <w:r w:rsidRPr="006703F1">
        <w:rPr>
          <w:i/>
        </w:rPr>
        <w:t xml:space="preserve">Table </w:t>
      </w:r>
      <w:r w:rsidR="00727BB3">
        <w:rPr>
          <w:i/>
        </w:rPr>
        <w:t>1</w:t>
      </w:r>
      <w:r w:rsidRPr="006703F1">
        <w:rPr>
          <w:i/>
        </w:rPr>
        <w:t>. Response rates for the surveys</w:t>
      </w:r>
      <w:r>
        <w:rPr>
          <w:i/>
        </w:rPr>
        <w:t xml:space="preserve"> – Canada</w:t>
      </w:r>
    </w:p>
    <w:tbl>
      <w:tblPr>
        <w:tblStyle w:val="Grilledutableau"/>
        <w:tblW w:w="0" w:type="auto"/>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1315"/>
        <w:gridCol w:w="1115"/>
        <w:gridCol w:w="1804"/>
        <w:gridCol w:w="1833"/>
      </w:tblGrid>
      <w:tr w:rsidR="006703F1" w:rsidRPr="008E14DE" w14:paraId="42275006" w14:textId="77777777">
        <w:tc>
          <w:tcPr>
            <w:tcW w:w="1315" w:type="dxa"/>
            <w:tcBorders>
              <w:bottom w:val="single" w:sz="6" w:space="0" w:color="008000"/>
            </w:tcBorders>
            <w:shd w:val="clear" w:color="auto" w:fill="auto"/>
          </w:tcPr>
          <w:p w14:paraId="2B37F417" w14:textId="77777777" w:rsidR="006703F1" w:rsidRPr="008E14DE" w:rsidRDefault="006703F1">
            <w:pPr>
              <w:pStyle w:val="Notedefin"/>
            </w:pPr>
          </w:p>
        </w:tc>
        <w:tc>
          <w:tcPr>
            <w:tcW w:w="1115" w:type="dxa"/>
            <w:tcBorders>
              <w:bottom w:val="single" w:sz="6" w:space="0" w:color="008000"/>
            </w:tcBorders>
            <w:shd w:val="clear" w:color="auto" w:fill="auto"/>
          </w:tcPr>
          <w:p w14:paraId="1C9BF179" w14:textId="77777777" w:rsidR="006703F1" w:rsidRPr="008E14DE" w:rsidRDefault="00451F47" w:rsidP="008E14DE">
            <w:pPr>
              <w:pStyle w:val="Notedefin"/>
              <w:jc w:val="center"/>
            </w:pPr>
            <w:r>
              <w:t>Surveys Mailed</w:t>
            </w:r>
          </w:p>
        </w:tc>
        <w:tc>
          <w:tcPr>
            <w:tcW w:w="1804" w:type="dxa"/>
            <w:tcBorders>
              <w:bottom w:val="single" w:sz="6" w:space="0" w:color="008000"/>
            </w:tcBorders>
            <w:shd w:val="clear" w:color="auto" w:fill="auto"/>
          </w:tcPr>
          <w:p w14:paraId="258B5DA4" w14:textId="77777777" w:rsidR="006703F1" w:rsidRPr="008E14DE" w:rsidRDefault="006703F1" w:rsidP="008E14DE">
            <w:pPr>
              <w:pStyle w:val="Notedefin"/>
              <w:jc w:val="center"/>
            </w:pPr>
            <w:r>
              <w:t xml:space="preserve">Usable </w:t>
            </w:r>
            <w:r w:rsidRPr="008E14DE">
              <w:t>Answers</w:t>
            </w:r>
          </w:p>
        </w:tc>
        <w:tc>
          <w:tcPr>
            <w:tcW w:w="1833" w:type="dxa"/>
            <w:tcBorders>
              <w:bottom w:val="single" w:sz="6" w:space="0" w:color="008000"/>
            </w:tcBorders>
            <w:shd w:val="clear" w:color="auto" w:fill="auto"/>
          </w:tcPr>
          <w:p w14:paraId="6E941645" w14:textId="77777777" w:rsidR="006703F1" w:rsidRPr="008E14DE" w:rsidRDefault="006703F1" w:rsidP="008E14DE">
            <w:pPr>
              <w:pStyle w:val="Notedefin"/>
              <w:jc w:val="center"/>
            </w:pPr>
            <w:r w:rsidRPr="008E14DE">
              <w:t>Response Rate</w:t>
            </w:r>
          </w:p>
        </w:tc>
      </w:tr>
      <w:tr w:rsidR="006703F1" w:rsidRPr="008E14DE" w14:paraId="32F51DCE" w14:textId="77777777">
        <w:tc>
          <w:tcPr>
            <w:tcW w:w="1315" w:type="dxa"/>
            <w:tcBorders>
              <w:top w:val="single" w:sz="6" w:space="0" w:color="008000"/>
              <w:bottom w:val="single" w:sz="6" w:space="0" w:color="008000"/>
            </w:tcBorders>
            <w:shd w:val="clear" w:color="auto" w:fill="auto"/>
          </w:tcPr>
          <w:p w14:paraId="7935D2DD" w14:textId="77777777" w:rsidR="006703F1" w:rsidRPr="008E14DE" w:rsidRDefault="006703F1">
            <w:pPr>
              <w:pStyle w:val="Notedefin"/>
            </w:pPr>
            <w:r>
              <w:t>Executives</w:t>
            </w:r>
          </w:p>
        </w:tc>
        <w:tc>
          <w:tcPr>
            <w:tcW w:w="1115" w:type="dxa"/>
            <w:tcBorders>
              <w:top w:val="single" w:sz="6" w:space="0" w:color="008000"/>
              <w:bottom w:val="single" w:sz="6" w:space="0" w:color="008000"/>
            </w:tcBorders>
            <w:shd w:val="clear" w:color="auto" w:fill="auto"/>
          </w:tcPr>
          <w:p w14:paraId="20E75C93" w14:textId="77777777" w:rsidR="006703F1" w:rsidRPr="008E14DE" w:rsidRDefault="006703F1" w:rsidP="008E14DE">
            <w:pPr>
              <w:pStyle w:val="Notedefin"/>
              <w:jc w:val="center"/>
            </w:pPr>
            <w:r w:rsidRPr="008E14DE">
              <w:t>471</w:t>
            </w:r>
          </w:p>
        </w:tc>
        <w:tc>
          <w:tcPr>
            <w:tcW w:w="1804" w:type="dxa"/>
            <w:tcBorders>
              <w:top w:val="single" w:sz="6" w:space="0" w:color="008000"/>
              <w:bottom w:val="single" w:sz="6" w:space="0" w:color="008000"/>
            </w:tcBorders>
            <w:shd w:val="clear" w:color="auto" w:fill="auto"/>
          </w:tcPr>
          <w:p w14:paraId="66D749A5" w14:textId="77777777" w:rsidR="006703F1" w:rsidRPr="008E14DE" w:rsidRDefault="006703F1" w:rsidP="008E14DE">
            <w:pPr>
              <w:pStyle w:val="Notedefin"/>
              <w:jc w:val="center"/>
            </w:pPr>
            <w:r w:rsidRPr="008E14DE">
              <w:t>190</w:t>
            </w:r>
          </w:p>
        </w:tc>
        <w:tc>
          <w:tcPr>
            <w:tcW w:w="1833" w:type="dxa"/>
            <w:tcBorders>
              <w:top w:val="single" w:sz="6" w:space="0" w:color="008000"/>
              <w:bottom w:val="single" w:sz="6" w:space="0" w:color="008000"/>
            </w:tcBorders>
            <w:shd w:val="clear" w:color="auto" w:fill="auto"/>
          </w:tcPr>
          <w:p w14:paraId="6C311B67" w14:textId="77777777" w:rsidR="006703F1" w:rsidRPr="008E14DE" w:rsidRDefault="006703F1" w:rsidP="008E14DE">
            <w:pPr>
              <w:pStyle w:val="Notedefin"/>
              <w:jc w:val="center"/>
            </w:pPr>
            <w:r>
              <w:t>40.3%</w:t>
            </w:r>
          </w:p>
        </w:tc>
      </w:tr>
      <w:tr w:rsidR="006703F1" w:rsidRPr="008E14DE" w14:paraId="3CD94CAA" w14:textId="77777777">
        <w:tc>
          <w:tcPr>
            <w:tcW w:w="1315" w:type="dxa"/>
            <w:tcBorders>
              <w:top w:val="single" w:sz="6" w:space="0" w:color="008000"/>
            </w:tcBorders>
            <w:shd w:val="clear" w:color="auto" w:fill="auto"/>
          </w:tcPr>
          <w:p w14:paraId="00852428" w14:textId="77777777" w:rsidR="006703F1" w:rsidRDefault="006703F1">
            <w:pPr>
              <w:pStyle w:val="Notedefin"/>
            </w:pPr>
            <w:r>
              <w:t>Academics</w:t>
            </w:r>
          </w:p>
        </w:tc>
        <w:tc>
          <w:tcPr>
            <w:tcW w:w="1115" w:type="dxa"/>
            <w:tcBorders>
              <w:top w:val="single" w:sz="6" w:space="0" w:color="008000"/>
            </w:tcBorders>
            <w:shd w:val="clear" w:color="auto" w:fill="auto"/>
          </w:tcPr>
          <w:p w14:paraId="0EC8CE7A" w14:textId="77777777" w:rsidR="006703F1" w:rsidRPr="008E14DE" w:rsidRDefault="006703F1" w:rsidP="008E14DE">
            <w:pPr>
              <w:pStyle w:val="Notedefin"/>
              <w:jc w:val="center"/>
            </w:pPr>
            <w:r>
              <w:t>1,654</w:t>
            </w:r>
          </w:p>
        </w:tc>
        <w:tc>
          <w:tcPr>
            <w:tcW w:w="1804" w:type="dxa"/>
            <w:tcBorders>
              <w:top w:val="single" w:sz="6" w:space="0" w:color="008000"/>
            </w:tcBorders>
            <w:shd w:val="clear" w:color="auto" w:fill="auto"/>
          </w:tcPr>
          <w:p w14:paraId="48A5DDC9" w14:textId="77777777" w:rsidR="006703F1" w:rsidRPr="008E14DE" w:rsidRDefault="00451F47" w:rsidP="008E14DE">
            <w:pPr>
              <w:pStyle w:val="Notedefin"/>
              <w:jc w:val="center"/>
            </w:pPr>
            <w:r>
              <w:t>374</w:t>
            </w:r>
          </w:p>
        </w:tc>
        <w:tc>
          <w:tcPr>
            <w:tcW w:w="1833" w:type="dxa"/>
            <w:tcBorders>
              <w:top w:val="single" w:sz="6" w:space="0" w:color="008000"/>
            </w:tcBorders>
            <w:shd w:val="clear" w:color="auto" w:fill="auto"/>
          </w:tcPr>
          <w:p w14:paraId="1E3A4798" w14:textId="77777777" w:rsidR="006703F1" w:rsidRDefault="00917300" w:rsidP="008E14DE">
            <w:pPr>
              <w:pStyle w:val="Notedefin"/>
              <w:jc w:val="center"/>
            </w:pPr>
            <w:r>
              <w:t>22.6%</w:t>
            </w:r>
          </w:p>
        </w:tc>
      </w:tr>
    </w:tbl>
    <w:p w14:paraId="775EE34E" w14:textId="77777777" w:rsidR="00451F47" w:rsidRPr="00451F47" w:rsidRDefault="00451F47" w:rsidP="00451F47">
      <w:pPr>
        <w:pStyle w:val="Notedefin"/>
        <w:spacing w:line="360" w:lineRule="auto"/>
      </w:pPr>
    </w:p>
    <w:p w14:paraId="0E432777" w14:textId="77777777" w:rsidR="00451F47" w:rsidRPr="00451F47" w:rsidRDefault="00451F47" w:rsidP="00451F47">
      <w:pPr>
        <w:pStyle w:val="Notedefin"/>
        <w:spacing w:line="360" w:lineRule="auto"/>
      </w:pPr>
    </w:p>
    <w:p w14:paraId="414DCB16" w14:textId="77777777" w:rsidR="008E14DE" w:rsidRDefault="008E14DE" w:rsidP="008E14DE">
      <w:pPr>
        <w:pStyle w:val="Notedefin"/>
        <w:rPr>
          <w:sz w:val="20"/>
        </w:rPr>
      </w:pPr>
    </w:p>
    <w:p w14:paraId="6074D013" w14:textId="77777777" w:rsidR="000D4FFA" w:rsidRPr="000D4FFA" w:rsidRDefault="000D4FFA">
      <w:pPr>
        <w:rPr>
          <w:i/>
        </w:rPr>
      </w:pPr>
      <w:r w:rsidRPr="000D4FFA">
        <w:rPr>
          <w:i/>
        </w:rPr>
        <w:t>Profiles of Respondents</w:t>
      </w:r>
    </w:p>
    <w:p w14:paraId="7C5F54DF" w14:textId="77777777" w:rsidR="000D4FFA" w:rsidRPr="000D4FFA" w:rsidRDefault="000D4FFA"/>
    <w:p w14:paraId="7047E565" w14:textId="77777777" w:rsidR="000D4FFA" w:rsidRPr="000D4FFA" w:rsidRDefault="000D4FFA" w:rsidP="000D4FFA">
      <w:pPr>
        <w:spacing w:line="360" w:lineRule="auto"/>
        <w:rPr>
          <w:rFonts w:cs="Arial"/>
          <w:lang w:val="en-CA"/>
        </w:rPr>
      </w:pPr>
      <w:r>
        <w:rPr>
          <w:rFonts w:cs="Arial"/>
          <w:lang w:val="en-CA"/>
        </w:rPr>
        <w:t>For t</w:t>
      </w:r>
      <w:r w:rsidRPr="000D4FFA">
        <w:rPr>
          <w:rFonts w:cs="Arial"/>
          <w:lang w:val="en-CA"/>
        </w:rPr>
        <w:t>he 2014 Canadian Governm</w:t>
      </w:r>
      <w:r>
        <w:rPr>
          <w:rFonts w:cs="Arial"/>
          <w:lang w:val="en-CA"/>
        </w:rPr>
        <w:t>ent Executive Survey, t</w:t>
      </w:r>
      <w:r w:rsidRPr="000D4FFA">
        <w:rPr>
          <w:rFonts w:cs="Arial"/>
          <w:lang w:val="en-CA"/>
        </w:rPr>
        <w:t xml:space="preserve">he majority of respondents came from Provincial and territorial governments, very low response rates were collected from non-departmental organizations and Crown Corporation. A lower than hoped for response rate also came from local governments. </w:t>
      </w:r>
    </w:p>
    <w:p w14:paraId="11385399" w14:textId="77777777" w:rsidR="000D4FFA" w:rsidRPr="000D4FFA" w:rsidRDefault="000D4FFA" w:rsidP="000D4FFA">
      <w:pPr>
        <w:spacing w:line="360" w:lineRule="auto"/>
        <w:rPr>
          <w:rFonts w:cs="Arial"/>
          <w:lang w:val="en-CA"/>
        </w:rPr>
      </w:pPr>
    </w:p>
    <w:p w14:paraId="38EBCA75" w14:textId="77777777" w:rsidR="000D4FFA" w:rsidRPr="000D4FFA" w:rsidRDefault="000D4FFA" w:rsidP="000D4FFA">
      <w:pPr>
        <w:spacing w:line="360" w:lineRule="auto"/>
        <w:rPr>
          <w:rFonts w:cs="Arial"/>
          <w:lang w:val="en-CA"/>
        </w:rPr>
      </w:pPr>
    </w:p>
    <w:p w14:paraId="48C2B4FB" w14:textId="77777777" w:rsidR="00327849" w:rsidRDefault="0010110B" w:rsidP="00327849">
      <w:pPr>
        <w:spacing w:line="360" w:lineRule="auto"/>
      </w:pPr>
      <w:r>
        <w:lastRenderedPageBreak/>
        <w:t>Regarding</w:t>
      </w:r>
      <w:r w:rsidR="00327849">
        <w:t xml:space="preserve"> the sample of academics who were sent the survey, we chose to i</w:t>
      </w:r>
      <w:r>
        <w:t>nclude all faculty in Canadian u</w:t>
      </w:r>
      <w:r w:rsidR="00327849">
        <w:t>niversities who belonged to Departments of Political Science/Political Studies, Public Administration, and to Schools of Public Policy and Public Administration who could be found on the website of these institutions. This meant that we included a very diverse set of specialization</w:t>
      </w:r>
      <w:r w:rsidR="002658EB">
        <w:t>s</w:t>
      </w:r>
      <w:r w:rsidR="00327849">
        <w:t xml:space="preserve"> along with the full spectrum of faculty positions (including policy fellows, retired and emeriti professors, and so forth). </w:t>
      </w:r>
    </w:p>
    <w:p w14:paraId="70A5F026" w14:textId="77777777" w:rsidR="00DB2BC3" w:rsidRDefault="00DB2BC3" w:rsidP="00327849">
      <w:pPr>
        <w:spacing w:line="360" w:lineRule="auto"/>
      </w:pPr>
    </w:p>
    <w:p w14:paraId="28FAE262" w14:textId="77777777" w:rsidR="007057E9" w:rsidRDefault="00327849" w:rsidP="00327849">
      <w:pPr>
        <w:spacing w:line="360" w:lineRule="auto"/>
      </w:pPr>
      <w:r>
        <w:t xml:space="preserve">Our sample choice was based on two major reflections. The first one was practical: the collection of contact information for this group was easy enough, but extending it to science faculties, faculties of economics and business administration/management would have made the task very onerous. We are convinced that doing so in the future would provide important data and we would encourage this step. The second reason rests with our own professional </w:t>
      </w:r>
      <w:r w:rsidR="007057E9">
        <w:t>identification as political scientists and public policy specialists. Because of it</w:t>
      </w:r>
      <w:r w:rsidR="002658EB">
        <w:t>,</w:t>
      </w:r>
      <w:r w:rsidR="007057E9">
        <w:t xml:space="preserve"> we are very keenly interested in exploring the contribution of our community to research engagement.</w:t>
      </w:r>
    </w:p>
    <w:p w14:paraId="3BCB97C1" w14:textId="77777777" w:rsidR="00DB2BC3" w:rsidRDefault="00DB2BC3" w:rsidP="00327849">
      <w:pPr>
        <w:spacing w:line="360" w:lineRule="auto"/>
      </w:pPr>
    </w:p>
    <w:p w14:paraId="0C898BE7" w14:textId="77777777" w:rsidR="004318A3" w:rsidRDefault="00420C69" w:rsidP="00327849">
      <w:pPr>
        <w:spacing w:line="360" w:lineRule="auto"/>
      </w:pPr>
      <w:r>
        <w:t xml:space="preserve">Both sets of results are best analyzed at the national level, since some of the provinces and territories struggled to provide sufficient responses </w:t>
      </w:r>
      <w:r w:rsidR="00D956C5">
        <w:t>to be statistically relevant. T</w:t>
      </w:r>
      <w:r>
        <w:t xml:space="preserve">he demographics of the respondents did not provide great surprises.  </w:t>
      </w:r>
    </w:p>
    <w:p w14:paraId="13C8C6A8" w14:textId="77777777" w:rsidR="00DB2BC3" w:rsidRDefault="00DB2BC3" w:rsidP="00327849">
      <w:pPr>
        <w:spacing w:line="360" w:lineRule="auto"/>
      </w:pPr>
    </w:p>
    <w:p w14:paraId="1879D52E" w14:textId="77777777" w:rsidR="004318A3" w:rsidRPr="004318A3" w:rsidRDefault="004318A3" w:rsidP="00327849">
      <w:pPr>
        <w:spacing w:line="360" w:lineRule="auto"/>
        <w:rPr>
          <w:i/>
        </w:rPr>
      </w:pPr>
      <w:r>
        <w:rPr>
          <w:i/>
        </w:rPr>
        <w:t xml:space="preserve">Table </w:t>
      </w:r>
      <w:r w:rsidR="0012620E">
        <w:rPr>
          <w:i/>
        </w:rPr>
        <w:t>2</w:t>
      </w:r>
      <w:r>
        <w:rPr>
          <w:i/>
        </w:rPr>
        <w:t xml:space="preserve">. Age and Gender Distribution – Canada </w:t>
      </w:r>
    </w:p>
    <w:tbl>
      <w:tblPr>
        <w:tblStyle w:val="Grilledutableau"/>
        <w:tblW w:w="0" w:type="auto"/>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114"/>
        <w:gridCol w:w="768"/>
        <w:gridCol w:w="768"/>
        <w:gridCol w:w="768"/>
        <w:gridCol w:w="768"/>
      </w:tblGrid>
      <w:tr w:rsidR="004318A3" w:rsidRPr="00953AC4" w14:paraId="2D0714BF" w14:textId="77777777">
        <w:tc>
          <w:tcPr>
            <w:tcW w:w="0" w:type="auto"/>
            <w:tcBorders>
              <w:bottom w:val="single" w:sz="6" w:space="0" w:color="008000"/>
            </w:tcBorders>
            <w:shd w:val="clear" w:color="auto" w:fill="auto"/>
            <w:vAlign w:val="center"/>
          </w:tcPr>
          <w:p w14:paraId="14F3F764" w14:textId="77777777" w:rsidR="004318A3" w:rsidRPr="00953AC4" w:rsidRDefault="004318A3" w:rsidP="004318A3">
            <w:pPr>
              <w:rPr>
                <w:rFonts w:eastAsia="Times New Roman" w:cs="Arial"/>
                <w:sz w:val="20"/>
                <w:lang w:val="en-CA" w:eastAsia="en-CA"/>
              </w:rPr>
            </w:pPr>
          </w:p>
        </w:tc>
        <w:tc>
          <w:tcPr>
            <w:tcW w:w="0" w:type="auto"/>
            <w:gridSpan w:val="2"/>
            <w:tcBorders>
              <w:bottom w:val="single" w:sz="6" w:space="0" w:color="008000"/>
            </w:tcBorders>
            <w:shd w:val="clear" w:color="auto" w:fill="auto"/>
            <w:vAlign w:val="center"/>
          </w:tcPr>
          <w:p w14:paraId="6E667B36" w14:textId="77777777" w:rsidR="004318A3" w:rsidRPr="00953AC4" w:rsidRDefault="004318A3" w:rsidP="004318A3">
            <w:pPr>
              <w:jc w:val="center"/>
              <w:rPr>
                <w:rFonts w:eastAsia="Times New Roman" w:cs="Arial"/>
                <w:sz w:val="20"/>
                <w:lang w:val="en-CA" w:eastAsia="en-CA"/>
              </w:rPr>
            </w:pPr>
            <w:r w:rsidRPr="00953AC4">
              <w:rPr>
                <w:rFonts w:eastAsia="Times New Roman" w:cs="Arial"/>
                <w:sz w:val="20"/>
                <w:lang w:val="en-CA" w:eastAsia="en-CA"/>
              </w:rPr>
              <w:t>Executives</w:t>
            </w:r>
          </w:p>
        </w:tc>
        <w:tc>
          <w:tcPr>
            <w:tcW w:w="0" w:type="auto"/>
            <w:gridSpan w:val="2"/>
            <w:tcBorders>
              <w:bottom w:val="single" w:sz="6" w:space="0" w:color="008000"/>
            </w:tcBorders>
            <w:shd w:val="clear" w:color="auto" w:fill="auto"/>
            <w:vAlign w:val="center"/>
          </w:tcPr>
          <w:p w14:paraId="6C91B62F" w14:textId="77777777" w:rsidR="004318A3" w:rsidRPr="00953AC4" w:rsidRDefault="004318A3" w:rsidP="004318A3">
            <w:pPr>
              <w:jc w:val="center"/>
              <w:rPr>
                <w:rFonts w:eastAsia="Times New Roman" w:cs="Arial"/>
                <w:sz w:val="20"/>
                <w:lang w:val="en-CA" w:eastAsia="en-CA"/>
              </w:rPr>
            </w:pPr>
            <w:r w:rsidRPr="00953AC4">
              <w:rPr>
                <w:rFonts w:eastAsia="Times New Roman" w:cs="Arial"/>
                <w:sz w:val="20"/>
                <w:lang w:val="en-CA" w:eastAsia="en-CA"/>
              </w:rPr>
              <w:t>Academics</w:t>
            </w:r>
          </w:p>
        </w:tc>
      </w:tr>
      <w:tr w:rsidR="004318A3" w:rsidRPr="00953AC4" w14:paraId="752358C3" w14:textId="77777777">
        <w:trPr>
          <w:trHeight w:val="104"/>
        </w:trPr>
        <w:tc>
          <w:tcPr>
            <w:tcW w:w="0" w:type="auto"/>
            <w:tcBorders>
              <w:top w:val="single" w:sz="6" w:space="0" w:color="008000"/>
            </w:tcBorders>
            <w:shd w:val="clear" w:color="auto" w:fill="auto"/>
            <w:vAlign w:val="center"/>
          </w:tcPr>
          <w:p w14:paraId="03B3BDFB" w14:textId="77777777" w:rsidR="004318A3" w:rsidRPr="00953AC4" w:rsidRDefault="004318A3" w:rsidP="004318A3">
            <w:pPr>
              <w:rPr>
                <w:rFonts w:eastAsia="Times New Roman" w:cs="Arial"/>
                <w:sz w:val="20"/>
                <w:lang w:val="en-CA" w:eastAsia="en-CA"/>
              </w:rPr>
            </w:pPr>
          </w:p>
        </w:tc>
        <w:tc>
          <w:tcPr>
            <w:tcW w:w="0" w:type="auto"/>
            <w:tcBorders>
              <w:top w:val="single" w:sz="6" w:space="0" w:color="008000"/>
              <w:bottom w:val="single" w:sz="4" w:space="0" w:color="auto"/>
            </w:tcBorders>
            <w:shd w:val="clear" w:color="auto" w:fill="auto"/>
            <w:vAlign w:val="center"/>
          </w:tcPr>
          <w:p w14:paraId="218BEA73" w14:textId="77777777" w:rsidR="004318A3" w:rsidRPr="00953AC4" w:rsidRDefault="004318A3" w:rsidP="004318A3">
            <w:pPr>
              <w:jc w:val="center"/>
              <w:rPr>
                <w:rFonts w:eastAsia="Times New Roman" w:cs="Arial"/>
                <w:sz w:val="20"/>
                <w:lang w:val="en-CA" w:eastAsia="en-CA"/>
              </w:rPr>
            </w:pPr>
            <w:r w:rsidRPr="00953AC4">
              <w:rPr>
                <w:rFonts w:eastAsia="Times New Roman" w:cs="Arial"/>
                <w:sz w:val="20"/>
                <w:lang w:val="en-CA" w:eastAsia="en-CA"/>
              </w:rPr>
              <w:t>M</w:t>
            </w:r>
          </w:p>
        </w:tc>
        <w:tc>
          <w:tcPr>
            <w:tcW w:w="0" w:type="auto"/>
            <w:tcBorders>
              <w:top w:val="single" w:sz="6" w:space="0" w:color="008000"/>
              <w:bottom w:val="single" w:sz="4" w:space="0" w:color="auto"/>
            </w:tcBorders>
            <w:shd w:val="clear" w:color="auto" w:fill="auto"/>
            <w:vAlign w:val="center"/>
          </w:tcPr>
          <w:p w14:paraId="0FAE1453" w14:textId="77777777" w:rsidR="004318A3" w:rsidRPr="00953AC4" w:rsidRDefault="004318A3" w:rsidP="004318A3">
            <w:pPr>
              <w:jc w:val="center"/>
              <w:rPr>
                <w:rFonts w:eastAsia="Times New Roman" w:cs="Arial"/>
                <w:sz w:val="20"/>
                <w:lang w:val="en-CA" w:eastAsia="en-CA"/>
              </w:rPr>
            </w:pPr>
            <w:r w:rsidRPr="00953AC4">
              <w:rPr>
                <w:rFonts w:eastAsia="Times New Roman" w:cs="Arial"/>
                <w:sz w:val="20"/>
                <w:lang w:val="en-CA" w:eastAsia="en-CA"/>
              </w:rPr>
              <w:t>F</w:t>
            </w:r>
          </w:p>
        </w:tc>
        <w:tc>
          <w:tcPr>
            <w:tcW w:w="0" w:type="auto"/>
            <w:tcBorders>
              <w:top w:val="single" w:sz="6" w:space="0" w:color="008000"/>
              <w:bottom w:val="single" w:sz="4" w:space="0" w:color="auto"/>
            </w:tcBorders>
            <w:shd w:val="clear" w:color="auto" w:fill="auto"/>
          </w:tcPr>
          <w:p w14:paraId="244E5FC3" w14:textId="77777777" w:rsidR="004318A3" w:rsidRPr="00953AC4" w:rsidRDefault="004318A3" w:rsidP="004318A3">
            <w:pPr>
              <w:jc w:val="center"/>
              <w:rPr>
                <w:sz w:val="20"/>
              </w:rPr>
            </w:pPr>
            <w:r w:rsidRPr="00953AC4">
              <w:rPr>
                <w:sz w:val="20"/>
              </w:rPr>
              <w:t>M</w:t>
            </w:r>
          </w:p>
        </w:tc>
        <w:tc>
          <w:tcPr>
            <w:tcW w:w="0" w:type="auto"/>
            <w:tcBorders>
              <w:top w:val="single" w:sz="6" w:space="0" w:color="008000"/>
              <w:bottom w:val="single" w:sz="4" w:space="0" w:color="auto"/>
            </w:tcBorders>
            <w:shd w:val="clear" w:color="auto" w:fill="auto"/>
          </w:tcPr>
          <w:p w14:paraId="6DBC8ABD" w14:textId="77777777" w:rsidR="004318A3" w:rsidRPr="00953AC4" w:rsidRDefault="004318A3" w:rsidP="004318A3">
            <w:pPr>
              <w:jc w:val="center"/>
              <w:rPr>
                <w:sz w:val="20"/>
              </w:rPr>
            </w:pPr>
            <w:r w:rsidRPr="00953AC4">
              <w:rPr>
                <w:sz w:val="20"/>
              </w:rPr>
              <w:t>F</w:t>
            </w:r>
          </w:p>
        </w:tc>
      </w:tr>
      <w:tr w:rsidR="004318A3" w:rsidRPr="00953AC4" w14:paraId="093EF450" w14:textId="77777777">
        <w:tc>
          <w:tcPr>
            <w:tcW w:w="0" w:type="auto"/>
            <w:shd w:val="clear" w:color="auto" w:fill="auto"/>
            <w:vAlign w:val="center"/>
          </w:tcPr>
          <w:p w14:paraId="68112474" w14:textId="77777777" w:rsidR="004318A3" w:rsidRPr="00953AC4" w:rsidRDefault="004318A3" w:rsidP="004318A3">
            <w:pPr>
              <w:rPr>
                <w:rFonts w:eastAsia="Times New Roman" w:cs="Arial"/>
                <w:sz w:val="20"/>
                <w:lang w:val="en-CA" w:eastAsia="en-CA"/>
              </w:rPr>
            </w:pPr>
            <w:r w:rsidRPr="00953AC4">
              <w:rPr>
                <w:rFonts w:eastAsia="Times New Roman" w:cs="Arial"/>
                <w:sz w:val="20"/>
                <w:lang w:val="en-CA" w:eastAsia="en-CA"/>
              </w:rPr>
              <w:t>Less than 30 years old</w:t>
            </w:r>
          </w:p>
        </w:tc>
        <w:tc>
          <w:tcPr>
            <w:tcW w:w="0" w:type="auto"/>
            <w:tcBorders>
              <w:top w:val="single" w:sz="4" w:space="0" w:color="auto"/>
            </w:tcBorders>
            <w:shd w:val="clear" w:color="auto" w:fill="auto"/>
            <w:vAlign w:val="center"/>
          </w:tcPr>
          <w:p w14:paraId="74B05A77" w14:textId="77777777" w:rsidR="004318A3" w:rsidRPr="00953AC4" w:rsidRDefault="004318A3" w:rsidP="004318A3">
            <w:pPr>
              <w:jc w:val="center"/>
              <w:rPr>
                <w:sz w:val="20"/>
              </w:rPr>
            </w:pPr>
            <w:r w:rsidRPr="00953AC4">
              <w:rPr>
                <w:sz w:val="20"/>
              </w:rPr>
              <w:t>0.0%</w:t>
            </w:r>
          </w:p>
          <w:p w14:paraId="2C8B8FC0" w14:textId="77777777" w:rsidR="004318A3" w:rsidRPr="00953AC4" w:rsidRDefault="004318A3" w:rsidP="004318A3">
            <w:pPr>
              <w:jc w:val="center"/>
              <w:rPr>
                <w:sz w:val="20"/>
              </w:rPr>
            </w:pPr>
            <w:r w:rsidRPr="00953AC4">
              <w:rPr>
                <w:sz w:val="20"/>
              </w:rPr>
              <w:t>(0)</w:t>
            </w:r>
          </w:p>
        </w:tc>
        <w:tc>
          <w:tcPr>
            <w:tcW w:w="0" w:type="auto"/>
            <w:tcBorders>
              <w:top w:val="single" w:sz="4" w:space="0" w:color="auto"/>
            </w:tcBorders>
            <w:shd w:val="clear" w:color="auto" w:fill="auto"/>
            <w:vAlign w:val="center"/>
          </w:tcPr>
          <w:p w14:paraId="011690CB" w14:textId="77777777" w:rsidR="004318A3" w:rsidRPr="00953AC4" w:rsidRDefault="004318A3" w:rsidP="004318A3">
            <w:pPr>
              <w:jc w:val="center"/>
              <w:rPr>
                <w:sz w:val="20"/>
              </w:rPr>
            </w:pPr>
            <w:r w:rsidRPr="00953AC4">
              <w:rPr>
                <w:sz w:val="20"/>
              </w:rPr>
              <w:t>0.0%</w:t>
            </w:r>
          </w:p>
          <w:p w14:paraId="59BD7FA1" w14:textId="77777777" w:rsidR="004318A3" w:rsidRPr="00953AC4" w:rsidRDefault="004318A3" w:rsidP="004318A3">
            <w:pPr>
              <w:jc w:val="center"/>
              <w:rPr>
                <w:sz w:val="20"/>
              </w:rPr>
            </w:pPr>
            <w:r w:rsidRPr="00953AC4">
              <w:rPr>
                <w:sz w:val="20"/>
              </w:rPr>
              <w:t>(0)</w:t>
            </w:r>
          </w:p>
        </w:tc>
        <w:tc>
          <w:tcPr>
            <w:tcW w:w="0" w:type="auto"/>
            <w:tcBorders>
              <w:top w:val="single" w:sz="4" w:space="0" w:color="auto"/>
            </w:tcBorders>
            <w:shd w:val="clear" w:color="auto" w:fill="auto"/>
            <w:vAlign w:val="center"/>
          </w:tcPr>
          <w:p w14:paraId="55D6330F" w14:textId="77777777" w:rsidR="004318A3" w:rsidRPr="00953AC4" w:rsidRDefault="00953AC4" w:rsidP="004318A3">
            <w:pPr>
              <w:jc w:val="center"/>
              <w:rPr>
                <w:sz w:val="20"/>
              </w:rPr>
            </w:pPr>
            <w:r w:rsidRPr="00953AC4">
              <w:rPr>
                <w:sz w:val="20"/>
              </w:rPr>
              <w:t>0.5</w:t>
            </w:r>
            <w:r w:rsidR="004318A3" w:rsidRPr="00953AC4">
              <w:rPr>
                <w:sz w:val="20"/>
              </w:rPr>
              <w:t>%</w:t>
            </w:r>
          </w:p>
          <w:p w14:paraId="15719726" w14:textId="77777777" w:rsidR="004318A3" w:rsidRPr="00953AC4" w:rsidRDefault="004318A3" w:rsidP="004318A3">
            <w:pPr>
              <w:jc w:val="center"/>
              <w:rPr>
                <w:sz w:val="20"/>
              </w:rPr>
            </w:pPr>
            <w:r w:rsidRPr="00953AC4">
              <w:rPr>
                <w:sz w:val="20"/>
              </w:rPr>
              <w:t>(</w:t>
            </w:r>
            <w:r w:rsidR="00953AC4" w:rsidRPr="00953AC4">
              <w:rPr>
                <w:sz w:val="20"/>
              </w:rPr>
              <w:t>1</w:t>
            </w:r>
            <w:r w:rsidRPr="00953AC4">
              <w:rPr>
                <w:sz w:val="20"/>
              </w:rPr>
              <w:t>)</w:t>
            </w:r>
          </w:p>
        </w:tc>
        <w:tc>
          <w:tcPr>
            <w:tcW w:w="0" w:type="auto"/>
            <w:tcBorders>
              <w:top w:val="single" w:sz="4" w:space="0" w:color="auto"/>
            </w:tcBorders>
            <w:shd w:val="clear" w:color="auto" w:fill="auto"/>
            <w:vAlign w:val="center"/>
          </w:tcPr>
          <w:p w14:paraId="41C05855" w14:textId="77777777" w:rsidR="004318A3" w:rsidRPr="00953AC4" w:rsidRDefault="00953AC4" w:rsidP="004318A3">
            <w:pPr>
              <w:jc w:val="center"/>
              <w:rPr>
                <w:sz w:val="20"/>
              </w:rPr>
            </w:pPr>
            <w:r w:rsidRPr="00953AC4">
              <w:rPr>
                <w:sz w:val="20"/>
              </w:rPr>
              <w:t>0.9</w:t>
            </w:r>
            <w:r w:rsidR="004318A3" w:rsidRPr="00953AC4">
              <w:rPr>
                <w:sz w:val="20"/>
              </w:rPr>
              <w:t>%</w:t>
            </w:r>
          </w:p>
          <w:p w14:paraId="0B099251" w14:textId="77777777" w:rsidR="004318A3" w:rsidRPr="00953AC4" w:rsidRDefault="004318A3" w:rsidP="004318A3">
            <w:pPr>
              <w:jc w:val="center"/>
              <w:rPr>
                <w:sz w:val="20"/>
              </w:rPr>
            </w:pPr>
            <w:r w:rsidRPr="00953AC4">
              <w:rPr>
                <w:sz w:val="20"/>
              </w:rPr>
              <w:t>(</w:t>
            </w:r>
            <w:r w:rsidR="00953AC4" w:rsidRPr="00953AC4">
              <w:rPr>
                <w:sz w:val="20"/>
              </w:rPr>
              <w:t>1</w:t>
            </w:r>
            <w:r w:rsidRPr="00953AC4">
              <w:rPr>
                <w:sz w:val="20"/>
              </w:rPr>
              <w:t>)</w:t>
            </w:r>
          </w:p>
        </w:tc>
      </w:tr>
      <w:tr w:rsidR="004318A3" w:rsidRPr="00953AC4" w14:paraId="2A03DB2D" w14:textId="77777777">
        <w:tc>
          <w:tcPr>
            <w:tcW w:w="0" w:type="auto"/>
            <w:shd w:val="clear" w:color="auto" w:fill="auto"/>
            <w:vAlign w:val="center"/>
          </w:tcPr>
          <w:p w14:paraId="4F2F4E18" w14:textId="77777777" w:rsidR="004318A3" w:rsidRPr="00953AC4" w:rsidRDefault="004318A3" w:rsidP="004318A3">
            <w:pPr>
              <w:rPr>
                <w:rFonts w:eastAsia="Times New Roman" w:cs="Arial"/>
                <w:sz w:val="20"/>
                <w:lang w:val="en-CA" w:eastAsia="en-CA"/>
              </w:rPr>
            </w:pPr>
            <w:r w:rsidRPr="00953AC4">
              <w:rPr>
                <w:rFonts w:eastAsia="Times New Roman" w:cs="Arial"/>
                <w:sz w:val="20"/>
                <w:lang w:val="en-CA" w:eastAsia="en-CA"/>
              </w:rPr>
              <w:t>30-39 years old</w:t>
            </w:r>
          </w:p>
        </w:tc>
        <w:tc>
          <w:tcPr>
            <w:tcW w:w="0" w:type="auto"/>
            <w:shd w:val="clear" w:color="auto" w:fill="auto"/>
            <w:vAlign w:val="center"/>
          </w:tcPr>
          <w:p w14:paraId="64D3CEED" w14:textId="77777777" w:rsidR="004318A3" w:rsidRPr="00953AC4" w:rsidRDefault="004318A3" w:rsidP="004318A3">
            <w:pPr>
              <w:jc w:val="center"/>
              <w:rPr>
                <w:sz w:val="20"/>
              </w:rPr>
            </w:pPr>
            <w:r w:rsidRPr="00953AC4">
              <w:rPr>
                <w:sz w:val="20"/>
              </w:rPr>
              <w:t>1.0%</w:t>
            </w:r>
          </w:p>
          <w:p w14:paraId="2CB63CA1" w14:textId="77777777" w:rsidR="004318A3" w:rsidRPr="00953AC4" w:rsidRDefault="004318A3" w:rsidP="004318A3">
            <w:pPr>
              <w:jc w:val="center"/>
              <w:rPr>
                <w:sz w:val="20"/>
              </w:rPr>
            </w:pPr>
            <w:r w:rsidRPr="00953AC4">
              <w:rPr>
                <w:sz w:val="20"/>
              </w:rPr>
              <w:t>(1)</w:t>
            </w:r>
          </w:p>
        </w:tc>
        <w:tc>
          <w:tcPr>
            <w:tcW w:w="0" w:type="auto"/>
            <w:shd w:val="clear" w:color="auto" w:fill="auto"/>
            <w:vAlign w:val="center"/>
          </w:tcPr>
          <w:p w14:paraId="6640C0DB" w14:textId="77777777" w:rsidR="004318A3" w:rsidRPr="00953AC4" w:rsidRDefault="004318A3" w:rsidP="004318A3">
            <w:pPr>
              <w:jc w:val="center"/>
              <w:rPr>
                <w:sz w:val="20"/>
              </w:rPr>
            </w:pPr>
            <w:r w:rsidRPr="00953AC4">
              <w:rPr>
                <w:sz w:val="20"/>
              </w:rPr>
              <w:t>6.1%</w:t>
            </w:r>
          </w:p>
          <w:p w14:paraId="5D337FA0" w14:textId="77777777" w:rsidR="004318A3" w:rsidRPr="00953AC4" w:rsidRDefault="004318A3" w:rsidP="004318A3">
            <w:pPr>
              <w:jc w:val="center"/>
              <w:rPr>
                <w:sz w:val="20"/>
              </w:rPr>
            </w:pPr>
            <w:r w:rsidRPr="00953AC4">
              <w:rPr>
                <w:sz w:val="20"/>
              </w:rPr>
              <w:t>(3)</w:t>
            </w:r>
          </w:p>
        </w:tc>
        <w:tc>
          <w:tcPr>
            <w:tcW w:w="0" w:type="auto"/>
            <w:shd w:val="clear" w:color="auto" w:fill="auto"/>
            <w:vAlign w:val="center"/>
          </w:tcPr>
          <w:p w14:paraId="1BB416D0" w14:textId="77777777" w:rsidR="004318A3" w:rsidRPr="00953AC4" w:rsidRDefault="00953AC4" w:rsidP="004318A3">
            <w:pPr>
              <w:jc w:val="center"/>
              <w:rPr>
                <w:sz w:val="20"/>
              </w:rPr>
            </w:pPr>
            <w:r w:rsidRPr="00953AC4">
              <w:rPr>
                <w:sz w:val="20"/>
              </w:rPr>
              <w:t>11.9</w:t>
            </w:r>
            <w:r w:rsidR="004318A3" w:rsidRPr="00953AC4">
              <w:rPr>
                <w:sz w:val="20"/>
              </w:rPr>
              <w:t>%</w:t>
            </w:r>
          </w:p>
          <w:p w14:paraId="66DBDC70" w14:textId="77777777" w:rsidR="004318A3" w:rsidRPr="00953AC4" w:rsidRDefault="004318A3" w:rsidP="004318A3">
            <w:pPr>
              <w:jc w:val="center"/>
              <w:rPr>
                <w:sz w:val="20"/>
              </w:rPr>
            </w:pPr>
            <w:r w:rsidRPr="00953AC4">
              <w:rPr>
                <w:sz w:val="20"/>
              </w:rPr>
              <w:t>(</w:t>
            </w:r>
            <w:r w:rsidR="00953AC4" w:rsidRPr="00953AC4">
              <w:rPr>
                <w:sz w:val="20"/>
              </w:rPr>
              <w:t>26</w:t>
            </w:r>
            <w:r w:rsidRPr="00953AC4">
              <w:rPr>
                <w:sz w:val="20"/>
              </w:rPr>
              <w:t>)</w:t>
            </w:r>
          </w:p>
        </w:tc>
        <w:tc>
          <w:tcPr>
            <w:tcW w:w="0" w:type="auto"/>
            <w:shd w:val="clear" w:color="auto" w:fill="auto"/>
            <w:vAlign w:val="center"/>
          </w:tcPr>
          <w:p w14:paraId="1BA49B58" w14:textId="77777777" w:rsidR="004318A3" w:rsidRPr="00953AC4" w:rsidRDefault="00953AC4" w:rsidP="004318A3">
            <w:pPr>
              <w:jc w:val="center"/>
              <w:rPr>
                <w:sz w:val="20"/>
              </w:rPr>
            </w:pPr>
            <w:r w:rsidRPr="00953AC4">
              <w:rPr>
                <w:sz w:val="20"/>
              </w:rPr>
              <w:t>29.6</w:t>
            </w:r>
            <w:r w:rsidR="004318A3" w:rsidRPr="00953AC4">
              <w:rPr>
                <w:sz w:val="20"/>
              </w:rPr>
              <w:t>%</w:t>
            </w:r>
          </w:p>
          <w:p w14:paraId="14E82C9A" w14:textId="77777777" w:rsidR="004318A3" w:rsidRPr="00953AC4" w:rsidRDefault="004318A3" w:rsidP="004318A3">
            <w:pPr>
              <w:jc w:val="center"/>
              <w:rPr>
                <w:sz w:val="20"/>
              </w:rPr>
            </w:pPr>
            <w:r w:rsidRPr="00953AC4">
              <w:rPr>
                <w:sz w:val="20"/>
              </w:rPr>
              <w:t>(</w:t>
            </w:r>
            <w:r w:rsidR="00953AC4" w:rsidRPr="00953AC4">
              <w:rPr>
                <w:sz w:val="20"/>
              </w:rPr>
              <w:t>34</w:t>
            </w:r>
            <w:r w:rsidRPr="00953AC4">
              <w:rPr>
                <w:sz w:val="20"/>
              </w:rPr>
              <w:t>)</w:t>
            </w:r>
          </w:p>
        </w:tc>
      </w:tr>
      <w:tr w:rsidR="004318A3" w:rsidRPr="00953AC4" w14:paraId="078846AC" w14:textId="77777777">
        <w:tc>
          <w:tcPr>
            <w:tcW w:w="0" w:type="auto"/>
            <w:shd w:val="clear" w:color="auto" w:fill="auto"/>
            <w:vAlign w:val="center"/>
          </w:tcPr>
          <w:p w14:paraId="70FC0EE8" w14:textId="77777777" w:rsidR="004318A3" w:rsidRPr="00953AC4" w:rsidRDefault="004318A3" w:rsidP="004318A3">
            <w:pPr>
              <w:rPr>
                <w:rFonts w:eastAsia="Times New Roman" w:cs="Arial"/>
                <w:sz w:val="20"/>
                <w:lang w:val="en-CA" w:eastAsia="en-CA"/>
              </w:rPr>
            </w:pPr>
            <w:r w:rsidRPr="00953AC4">
              <w:rPr>
                <w:rFonts w:eastAsia="Times New Roman" w:cs="Arial"/>
                <w:sz w:val="20"/>
                <w:lang w:val="en-CA" w:eastAsia="en-CA"/>
              </w:rPr>
              <w:t>40-49 years old</w:t>
            </w:r>
          </w:p>
        </w:tc>
        <w:tc>
          <w:tcPr>
            <w:tcW w:w="0" w:type="auto"/>
            <w:shd w:val="clear" w:color="auto" w:fill="auto"/>
            <w:vAlign w:val="center"/>
          </w:tcPr>
          <w:p w14:paraId="10D4D804" w14:textId="77777777" w:rsidR="004318A3" w:rsidRPr="00953AC4" w:rsidRDefault="004318A3" w:rsidP="004318A3">
            <w:pPr>
              <w:jc w:val="center"/>
              <w:rPr>
                <w:sz w:val="20"/>
              </w:rPr>
            </w:pPr>
            <w:r w:rsidRPr="00953AC4">
              <w:rPr>
                <w:sz w:val="20"/>
              </w:rPr>
              <w:t>28.6%</w:t>
            </w:r>
          </w:p>
          <w:p w14:paraId="506FBD23" w14:textId="77777777" w:rsidR="004318A3" w:rsidRPr="00953AC4" w:rsidRDefault="004318A3" w:rsidP="004318A3">
            <w:pPr>
              <w:jc w:val="center"/>
              <w:rPr>
                <w:sz w:val="20"/>
              </w:rPr>
            </w:pPr>
            <w:r w:rsidRPr="00953AC4">
              <w:rPr>
                <w:sz w:val="20"/>
              </w:rPr>
              <w:t>(30)</w:t>
            </w:r>
          </w:p>
        </w:tc>
        <w:tc>
          <w:tcPr>
            <w:tcW w:w="0" w:type="auto"/>
            <w:shd w:val="clear" w:color="auto" w:fill="auto"/>
            <w:vAlign w:val="center"/>
          </w:tcPr>
          <w:p w14:paraId="69B7BD95" w14:textId="77777777" w:rsidR="004318A3" w:rsidRPr="00953AC4" w:rsidRDefault="004318A3" w:rsidP="004318A3">
            <w:pPr>
              <w:jc w:val="center"/>
              <w:rPr>
                <w:sz w:val="20"/>
              </w:rPr>
            </w:pPr>
            <w:r w:rsidRPr="00953AC4">
              <w:rPr>
                <w:sz w:val="20"/>
              </w:rPr>
              <w:t>20.4%</w:t>
            </w:r>
          </w:p>
          <w:p w14:paraId="48F0DD1D" w14:textId="77777777" w:rsidR="004318A3" w:rsidRPr="00953AC4" w:rsidRDefault="004318A3" w:rsidP="004318A3">
            <w:pPr>
              <w:jc w:val="center"/>
              <w:rPr>
                <w:sz w:val="20"/>
              </w:rPr>
            </w:pPr>
            <w:r w:rsidRPr="00953AC4">
              <w:rPr>
                <w:sz w:val="20"/>
              </w:rPr>
              <w:t>(10)</w:t>
            </w:r>
          </w:p>
        </w:tc>
        <w:tc>
          <w:tcPr>
            <w:tcW w:w="0" w:type="auto"/>
            <w:shd w:val="clear" w:color="auto" w:fill="auto"/>
            <w:vAlign w:val="center"/>
          </w:tcPr>
          <w:p w14:paraId="5B5F6F29" w14:textId="77777777" w:rsidR="004318A3" w:rsidRPr="00953AC4" w:rsidRDefault="00953AC4" w:rsidP="004318A3">
            <w:pPr>
              <w:jc w:val="center"/>
              <w:rPr>
                <w:sz w:val="20"/>
              </w:rPr>
            </w:pPr>
            <w:r w:rsidRPr="00953AC4">
              <w:rPr>
                <w:sz w:val="20"/>
              </w:rPr>
              <w:t>30.3</w:t>
            </w:r>
            <w:r w:rsidR="004318A3" w:rsidRPr="00953AC4">
              <w:rPr>
                <w:sz w:val="20"/>
              </w:rPr>
              <w:t>%</w:t>
            </w:r>
          </w:p>
          <w:p w14:paraId="773858A0" w14:textId="77777777" w:rsidR="004318A3" w:rsidRPr="00953AC4" w:rsidRDefault="004318A3" w:rsidP="004318A3">
            <w:pPr>
              <w:jc w:val="center"/>
              <w:rPr>
                <w:sz w:val="20"/>
              </w:rPr>
            </w:pPr>
            <w:r w:rsidRPr="00953AC4">
              <w:rPr>
                <w:sz w:val="20"/>
              </w:rPr>
              <w:t>(</w:t>
            </w:r>
            <w:r w:rsidR="00953AC4" w:rsidRPr="00953AC4">
              <w:rPr>
                <w:sz w:val="20"/>
              </w:rPr>
              <w:t>66</w:t>
            </w:r>
            <w:r w:rsidRPr="00953AC4">
              <w:rPr>
                <w:sz w:val="20"/>
              </w:rPr>
              <w:t>)</w:t>
            </w:r>
          </w:p>
        </w:tc>
        <w:tc>
          <w:tcPr>
            <w:tcW w:w="0" w:type="auto"/>
            <w:shd w:val="clear" w:color="auto" w:fill="auto"/>
            <w:vAlign w:val="center"/>
          </w:tcPr>
          <w:p w14:paraId="47ACDF12" w14:textId="77777777" w:rsidR="004318A3" w:rsidRPr="00953AC4" w:rsidRDefault="00953AC4" w:rsidP="004318A3">
            <w:pPr>
              <w:jc w:val="center"/>
              <w:rPr>
                <w:sz w:val="20"/>
              </w:rPr>
            </w:pPr>
            <w:r w:rsidRPr="00953AC4">
              <w:rPr>
                <w:sz w:val="20"/>
              </w:rPr>
              <w:t>33.9</w:t>
            </w:r>
            <w:r w:rsidR="004318A3" w:rsidRPr="00953AC4">
              <w:rPr>
                <w:sz w:val="20"/>
              </w:rPr>
              <w:t>%</w:t>
            </w:r>
          </w:p>
          <w:p w14:paraId="4DF69393" w14:textId="77777777" w:rsidR="004318A3" w:rsidRPr="00953AC4" w:rsidRDefault="004318A3" w:rsidP="004318A3">
            <w:pPr>
              <w:jc w:val="center"/>
              <w:rPr>
                <w:sz w:val="20"/>
              </w:rPr>
            </w:pPr>
            <w:r w:rsidRPr="00953AC4">
              <w:rPr>
                <w:sz w:val="20"/>
              </w:rPr>
              <w:t>(</w:t>
            </w:r>
            <w:r w:rsidR="00953AC4" w:rsidRPr="00953AC4">
              <w:rPr>
                <w:sz w:val="20"/>
              </w:rPr>
              <w:t>39</w:t>
            </w:r>
            <w:r w:rsidRPr="00953AC4">
              <w:rPr>
                <w:sz w:val="20"/>
              </w:rPr>
              <w:t>)</w:t>
            </w:r>
          </w:p>
        </w:tc>
      </w:tr>
      <w:tr w:rsidR="004318A3" w:rsidRPr="00953AC4" w14:paraId="4ACD1929" w14:textId="77777777">
        <w:tc>
          <w:tcPr>
            <w:tcW w:w="0" w:type="auto"/>
            <w:shd w:val="clear" w:color="auto" w:fill="auto"/>
            <w:vAlign w:val="center"/>
          </w:tcPr>
          <w:p w14:paraId="120BE6EA" w14:textId="77777777" w:rsidR="004318A3" w:rsidRPr="00953AC4" w:rsidRDefault="004318A3" w:rsidP="004318A3">
            <w:pPr>
              <w:rPr>
                <w:rFonts w:eastAsia="Times New Roman" w:cs="Arial"/>
                <w:sz w:val="20"/>
                <w:lang w:val="en-CA" w:eastAsia="en-CA"/>
              </w:rPr>
            </w:pPr>
            <w:r w:rsidRPr="00953AC4">
              <w:rPr>
                <w:rFonts w:eastAsia="Times New Roman" w:cs="Arial"/>
                <w:sz w:val="20"/>
                <w:lang w:val="en-CA" w:eastAsia="en-CA"/>
              </w:rPr>
              <w:t>50-55 year old</w:t>
            </w:r>
          </w:p>
        </w:tc>
        <w:tc>
          <w:tcPr>
            <w:tcW w:w="0" w:type="auto"/>
            <w:shd w:val="clear" w:color="auto" w:fill="auto"/>
            <w:vAlign w:val="center"/>
          </w:tcPr>
          <w:p w14:paraId="6DA65BD9" w14:textId="77777777" w:rsidR="004318A3" w:rsidRPr="00953AC4" w:rsidRDefault="004318A3" w:rsidP="004318A3">
            <w:pPr>
              <w:jc w:val="center"/>
              <w:rPr>
                <w:sz w:val="20"/>
              </w:rPr>
            </w:pPr>
            <w:r w:rsidRPr="00953AC4">
              <w:rPr>
                <w:sz w:val="20"/>
              </w:rPr>
              <w:t>33.3%</w:t>
            </w:r>
          </w:p>
          <w:p w14:paraId="221E808E" w14:textId="77777777" w:rsidR="004318A3" w:rsidRPr="00953AC4" w:rsidRDefault="004318A3" w:rsidP="004318A3">
            <w:pPr>
              <w:jc w:val="center"/>
              <w:rPr>
                <w:sz w:val="20"/>
              </w:rPr>
            </w:pPr>
            <w:r w:rsidRPr="00953AC4">
              <w:rPr>
                <w:sz w:val="20"/>
              </w:rPr>
              <w:t>(35)</w:t>
            </w:r>
          </w:p>
        </w:tc>
        <w:tc>
          <w:tcPr>
            <w:tcW w:w="0" w:type="auto"/>
            <w:shd w:val="clear" w:color="auto" w:fill="auto"/>
            <w:vAlign w:val="center"/>
          </w:tcPr>
          <w:p w14:paraId="073690A5" w14:textId="77777777" w:rsidR="004318A3" w:rsidRPr="00953AC4" w:rsidRDefault="004318A3" w:rsidP="004318A3">
            <w:pPr>
              <w:jc w:val="center"/>
              <w:rPr>
                <w:sz w:val="20"/>
              </w:rPr>
            </w:pPr>
            <w:r w:rsidRPr="00953AC4">
              <w:rPr>
                <w:sz w:val="20"/>
              </w:rPr>
              <w:t>36.7%</w:t>
            </w:r>
          </w:p>
          <w:p w14:paraId="5357C13D" w14:textId="77777777" w:rsidR="004318A3" w:rsidRPr="00953AC4" w:rsidRDefault="004318A3" w:rsidP="004318A3">
            <w:pPr>
              <w:jc w:val="center"/>
              <w:rPr>
                <w:sz w:val="20"/>
              </w:rPr>
            </w:pPr>
            <w:r w:rsidRPr="00953AC4">
              <w:rPr>
                <w:sz w:val="20"/>
              </w:rPr>
              <w:t>(18)</w:t>
            </w:r>
          </w:p>
        </w:tc>
        <w:tc>
          <w:tcPr>
            <w:tcW w:w="0" w:type="auto"/>
            <w:shd w:val="clear" w:color="auto" w:fill="auto"/>
            <w:vAlign w:val="center"/>
          </w:tcPr>
          <w:p w14:paraId="689D1CF2" w14:textId="77777777" w:rsidR="004318A3" w:rsidRPr="00953AC4" w:rsidRDefault="00953AC4" w:rsidP="004318A3">
            <w:pPr>
              <w:jc w:val="center"/>
              <w:rPr>
                <w:sz w:val="20"/>
              </w:rPr>
            </w:pPr>
            <w:r w:rsidRPr="00953AC4">
              <w:rPr>
                <w:sz w:val="20"/>
              </w:rPr>
              <w:t>16.5</w:t>
            </w:r>
            <w:r w:rsidR="004318A3" w:rsidRPr="00953AC4">
              <w:rPr>
                <w:sz w:val="20"/>
              </w:rPr>
              <w:t>%</w:t>
            </w:r>
          </w:p>
          <w:p w14:paraId="6E6C5D4F" w14:textId="77777777" w:rsidR="004318A3" w:rsidRPr="00953AC4" w:rsidRDefault="004318A3" w:rsidP="004318A3">
            <w:pPr>
              <w:jc w:val="center"/>
              <w:rPr>
                <w:sz w:val="20"/>
              </w:rPr>
            </w:pPr>
            <w:r w:rsidRPr="00953AC4">
              <w:rPr>
                <w:sz w:val="20"/>
              </w:rPr>
              <w:t>(</w:t>
            </w:r>
            <w:r w:rsidR="00953AC4" w:rsidRPr="00953AC4">
              <w:rPr>
                <w:sz w:val="20"/>
              </w:rPr>
              <w:t>36</w:t>
            </w:r>
            <w:r w:rsidRPr="00953AC4">
              <w:rPr>
                <w:sz w:val="20"/>
              </w:rPr>
              <w:t>)</w:t>
            </w:r>
          </w:p>
        </w:tc>
        <w:tc>
          <w:tcPr>
            <w:tcW w:w="0" w:type="auto"/>
            <w:shd w:val="clear" w:color="auto" w:fill="auto"/>
            <w:vAlign w:val="center"/>
          </w:tcPr>
          <w:p w14:paraId="4E448108" w14:textId="77777777" w:rsidR="004318A3" w:rsidRPr="00953AC4" w:rsidRDefault="00953AC4" w:rsidP="004318A3">
            <w:pPr>
              <w:jc w:val="center"/>
              <w:rPr>
                <w:sz w:val="20"/>
              </w:rPr>
            </w:pPr>
            <w:r w:rsidRPr="00953AC4">
              <w:rPr>
                <w:sz w:val="20"/>
              </w:rPr>
              <w:t>15.6</w:t>
            </w:r>
            <w:r w:rsidR="004318A3" w:rsidRPr="00953AC4">
              <w:rPr>
                <w:sz w:val="20"/>
              </w:rPr>
              <w:t>%</w:t>
            </w:r>
          </w:p>
          <w:p w14:paraId="3516E7F3" w14:textId="77777777" w:rsidR="004318A3" w:rsidRPr="00953AC4" w:rsidRDefault="004318A3" w:rsidP="004318A3">
            <w:pPr>
              <w:jc w:val="center"/>
              <w:rPr>
                <w:sz w:val="20"/>
              </w:rPr>
            </w:pPr>
            <w:r w:rsidRPr="00953AC4">
              <w:rPr>
                <w:sz w:val="20"/>
              </w:rPr>
              <w:t>(</w:t>
            </w:r>
            <w:r w:rsidR="00953AC4" w:rsidRPr="00953AC4">
              <w:rPr>
                <w:sz w:val="20"/>
              </w:rPr>
              <w:t>18</w:t>
            </w:r>
            <w:r w:rsidRPr="00953AC4">
              <w:rPr>
                <w:sz w:val="20"/>
              </w:rPr>
              <w:t>)</w:t>
            </w:r>
          </w:p>
        </w:tc>
      </w:tr>
      <w:tr w:rsidR="004318A3" w:rsidRPr="00953AC4" w14:paraId="633110B5" w14:textId="77777777">
        <w:tc>
          <w:tcPr>
            <w:tcW w:w="0" w:type="auto"/>
            <w:shd w:val="clear" w:color="auto" w:fill="auto"/>
            <w:vAlign w:val="center"/>
          </w:tcPr>
          <w:p w14:paraId="394B2977" w14:textId="77777777" w:rsidR="004318A3" w:rsidRPr="00953AC4" w:rsidRDefault="004318A3" w:rsidP="004318A3">
            <w:pPr>
              <w:rPr>
                <w:rFonts w:eastAsia="Times New Roman" w:cs="Arial"/>
                <w:sz w:val="20"/>
                <w:lang w:val="en-CA" w:eastAsia="en-CA"/>
              </w:rPr>
            </w:pPr>
            <w:r w:rsidRPr="00953AC4">
              <w:rPr>
                <w:rFonts w:eastAsia="Times New Roman" w:cs="Arial"/>
                <w:sz w:val="20"/>
                <w:lang w:val="en-CA" w:eastAsia="en-CA"/>
              </w:rPr>
              <w:t>Over 55</w:t>
            </w:r>
          </w:p>
        </w:tc>
        <w:tc>
          <w:tcPr>
            <w:tcW w:w="0" w:type="auto"/>
            <w:shd w:val="clear" w:color="auto" w:fill="auto"/>
            <w:vAlign w:val="center"/>
          </w:tcPr>
          <w:p w14:paraId="13827F78" w14:textId="77777777" w:rsidR="004318A3" w:rsidRPr="00953AC4" w:rsidRDefault="004318A3" w:rsidP="004318A3">
            <w:pPr>
              <w:jc w:val="center"/>
              <w:rPr>
                <w:sz w:val="20"/>
              </w:rPr>
            </w:pPr>
            <w:r w:rsidRPr="00953AC4">
              <w:rPr>
                <w:sz w:val="20"/>
              </w:rPr>
              <w:t>37.1%</w:t>
            </w:r>
          </w:p>
          <w:p w14:paraId="1060CBC7" w14:textId="77777777" w:rsidR="004318A3" w:rsidRPr="00953AC4" w:rsidRDefault="004318A3" w:rsidP="004318A3">
            <w:pPr>
              <w:jc w:val="center"/>
              <w:rPr>
                <w:sz w:val="20"/>
              </w:rPr>
            </w:pPr>
            <w:r w:rsidRPr="00953AC4">
              <w:rPr>
                <w:sz w:val="20"/>
              </w:rPr>
              <w:t>(39)</w:t>
            </w:r>
          </w:p>
        </w:tc>
        <w:tc>
          <w:tcPr>
            <w:tcW w:w="0" w:type="auto"/>
            <w:shd w:val="clear" w:color="auto" w:fill="auto"/>
            <w:vAlign w:val="center"/>
          </w:tcPr>
          <w:p w14:paraId="6C765912" w14:textId="77777777" w:rsidR="004318A3" w:rsidRPr="00953AC4" w:rsidRDefault="004318A3" w:rsidP="004318A3">
            <w:pPr>
              <w:jc w:val="center"/>
              <w:rPr>
                <w:sz w:val="20"/>
              </w:rPr>
            </w:pPr>
            <w:r w:rsidRPr="00953AC4">
              <w:rPr>
                <w:sz w:val="20"/>
              </w:rPr>
              <w:t>36.7%</w:t>
            </w:r>
          </w:p>
          <w:p w14:paraId="13440832" w14:textId="77777777" w:rsidR="004318A3" w:rsidRPr="00953AC4" w:rsidRDefault="004318A3" w:rsidP="004318A3">
            <w:pPr>
              <w:jc w:val="center"/>
              <w:rPr>
                <w:sz w:val="20"/>
              </w:rPr>
            </w:pPr>
            <w:r w:rsidRPr="00953AC4">
              <w:rPr>
                <w:sz w:val="20"/>
              </w:rPr>
              <w:t>(18)</w:t>
            </w:r>
          </w:p>
        </w:tc>
        <w:tc>
          <w:tcPr>
            <w:tcW w:w="0" w:type="auto"/>
            <w:shd w:val="clear" w:color="auto" w:fill="auto"/>
            <w:vAlign w:val="center"/>
          </w:tcPr>
          <w:p w14:paraId="33FB14FF" w14:textId="77777777" w:rsidR="004318A3" w:rsidRPr="00953AC4" w:rsidRDefault="00953AC4" w:rsidP="004318A3">
            <w:pPr>
              <w:jc w:val="center"/>
              <w:rPr>
                <w:sz w:val="20"/>
              </w:rPr>
            </w:pPr>
            <w:r w:rsidRPr="00953AC4">
              <w:rPr>
                <w:sz w:val="20"/>
              </w:rPr>
              <w:t>40.8</w:t>
            </w:r>
            <w:r w:rsidR="004318A3" w:rsidRPr="00953AC4">
              <w:rPr>
                <w:sz w:val="20"/>
              </w:rPr>
              <w:t>%</w:t>
            </w:r>
          </w:p>
          <w:p w14:paraId="42614245" w14:textId="77777777" w:rsidR="004318A3" w:rsidRPr="00953AC4" w:rsidRDefault="004318A3" w:rsidP="004318A3">
            <w:pPr>
              <w:jc w:val="center"/>
              <w:rPr>
                <w:sz w:val="20"/>
              </w:rPr>
            </w:pPr>
            <w:r w:rsidRPr="00953AC4">
              <w:rPr>
                <w:sz w:val="20"/>
              </w:rPr>
              <w:t>(</w:t>
            </w:r>
            <w:r w:rsidR="00953AC4" w:rsidRPr="00953AC4">
              <w:rPr>
                <w:sz w:val="20"/>
              </w:rPr>
              <w:t>89</w:t>
            </w:r>
            <w:r w:rsidRPr="00953AC4">
              <w:rPr>
                <w:sz w:val="20"/>
              </w:rPr>
              <w:t>)</w:t>
            </w:r>
          </w:p>
        </w:tc>
        <w:tc>
          <w:tcPr>
            <w:tcW w:w="0" w:type="auto"/>
            <w:shd w:val="clear" w:color="auto" w:fill="auto"/>
            <w:vAlign w:val="center"/>
          </w:tcPr>
          <w:p w14:paraId="28381D6C" w14:textId="77777777" w:rsidR="004318A3" w:rsidRPr="00953AC4" w:rsidRDefault="00953AC4" w:rsidP="004318A3">
            <w:pPr>
              <w:jc w:val="center"/>
              <w:rPr>
                <w:sz w:val="20"/>
              </w:rPr>
            </w:pPr>
            <w:r w:rsidRPr="00953AC4">
              <w:rPr>
                <w:sz w:val="20"/>
              </w:rPr>
              <w:t>20.0</w:t>
            </w:r>
            <w:r w:rsidR="004318A3" w:rsidRPr="00953AC4">
              <w:rPr>
                <w:sz w:val="20"/>
              </w:rPr>
              <w:t>%</w:t>
            </w:r>
          </w:p>
          <w:p w14:paraId="0BCD6F3C" w14:textId="77777777" w:rsidR="004318A3" w:rsidRPr="00953AC4" w:rsidRDefault="004318A3" w:rsidP="004318A3">
            <w:pPr>
              <w:jc w:val="center"/>
              <w:rPr>
                <w:sz w:val="20"/>
              </w:rPr>
            </w:pPr>
            <w:r w:rsidRPr="00953AC4">
              <w:rPr>
                <w:sz w:val="20"/>
              </w:rPr>
              <w:t>(</w:t>
            </w:r>
            <w:r w:rsidR="00953AC4" w:rsidRPr="00953AC4">
              <w:rPr>
                <w:sz w:val="20"/>
              </w:rPr>
              <w:t>23</w:t>
            </w:r>
            <w:r w:rsidRPr="00953AC4">
              <w:rPr>
                <w:sz w:val="20"/>
              </w:rPr>
              <w:t>)</w:t>
            </w:r>
          </w:p>
        </w:tc>
      </w:tr>
    </w:tbl>
    <w:p w14:paraId="6C5AEDA2" w14:textId="77777777" w:rsidR="00917300" w:rsidRDefault="00917300" w:rsidP="00327849">
      <w:pPr>
        <w:spacing w:line="360" w:lineRule="auto"/>
      </w:pPr>
    </w:p>
    <w:p w14:paraId="775B3FAF" w14:textId="77777777" w:rsidR="00917300" w:rsidRDefault="00953AC4" w:rsidP="00327849">
      <w:pPr>
        <w:spacing w:line="360" w:lineRule="auto"/>
      </w:pPr>
      <w:r>
        <w:lastRenderedPageBreak/>
        <w:t xml:space="preserve">As can be seen from this comparison, there </w:t>
      </w:r>
      <w:r w:rsidR="00D51715">
        <w:t>is divergence</w:t>
      </w:r>
      <w:r>
        <w:t xml:space="preserve"> in terms of age difference distribution both within the academic respondents and between samples. Women tend to have higher numbers compare</w:t>
      </w:r>
      <w:r w:rsidR="006E7573">
        <w:t>d</w:t>
      </w:r>
      <w:r>
        <w:t xml:space="preserve"> to men in the younger age </w:t>
      </w:r>
      <w:r w:rsidR="002658EB">
        <w:t>groups;</w:t>
      </w:r>
      <w:r>
        <w:t xml:space="preserve"> </w:t>
      </w:r>
      <w:r w:rsidR="006E7573">
        <w:t>almost no executives are</w:t>
      </w:r>
      <w:r>
        <w:t xml:space="preserve"> under 40 years of age. In the over 55 </w:t>
      </w:r>
      <w:proofErr w:type="gramStart"/>
      <w:r>
        <w:t>category</w:t>
      </w:r>
      <w:proofErr w:type="gramEnd"/>
      <w:r>
        <w:t xml:space="preserve"> for academics the difference is extremely pronounced. </w:t>
      </w:r>
    </w:p>
    <w:p w14:paraId="02A702B5" w14:textId="77777777" w:rsidR="00DB2BC3" w:rsidRDefault="00DB2BC3" w:rsidP="00327849">
      <w:pPr>
        <w:spacing w:line="360" w:lineRule="auto"/>
      </w:pPr>
    </w:p>
    <w:p w14:paraId="5C1F7D0B" w14:textId="77777777" w:rsidR="00571C2E" w:rsidRDefault="004D137B" w:rsidP="00327849">
      <w:pPr>
        <w:spacing w:line="360" w:lineRule="auto"/>
      </w:pPr>
      <w:r>
        <w:t>With regards to the place of work of the respondents, those who specified it overwhelmingly teach in Departments of political science and policy studies</w:t>
      </w:r>
      <w:r w:rsidR="002B51EE">
        <w:t xml:space="preserve"> (65%)</w:t>
      </w:r>
      <w:r>
        <w:t xml:space="preserve">. About 17% works in Schools of Public Policy and Public Administration. </w:t>
      </w:r>
      <w:r w:rsidR="003C3B2A">
        <w:t>A</w:t>
      </w:r>
      <w:r w:rsidR="00571C2E">
        <w:t xml:space="preserve">cademic respondents </w:t>
      </w:r>
      <w:r w:rsidR="00824CB2">
        <w:t xml:space="preserve">were mostly tenured professors and </w:t>
      </w:r>
      <w:r w:rsidR="006E1358">
        <w:t xml:space="preserve">many </w:t>
      </w:r>
      <w:r w:rsidR="00824CB2">
        <w:t xml:space="preserve">tended to </w:t>
      </w:r>
      <w:r w:rsidR="006E1358">
        <w:t xml:space="preserve">belong to </w:t>
      </w:r>
      <w:r w:rsidR="00824CB2">
        <w:t>the</w:t>
      </w:r>
      <w:r w:rsidR="003C3B2A">
        <w:t xml:space="preserve"> group that was</w:t>
      </w:r>
      <w:r w:rsidR="00824CB2">
        <w:t xml:space="preserve"> already established </w:t>
      </w:r>
      <w:r w:rsidR="003C3B2A">
        <w:t xml:space="preserve">career-wise </w:t>
      </w:r>
      <w:r w:rsidR="002B51EE">
        <w:t xml:space="preserve">– </w:t>
      </w:r>
      <w:r w:rsidR="00824CB2">
        <w:t>Full Professors</w:t>
      </w:r>
      <w:r w:rsidR="002B51EE">
        <w:t xml:space="preserve"> (32.3%</w:t>
      </w:r>
      <w:r w:rsidR="00824CB2">
        <w:t>)</w:t>
      </w:r>
      <w:r w:rsidR="002B51EE">
        <w:t xml:space="preserve"> and Associate Professors (36.0%)</w:t>
      </w:r>
      <w:r w:rsidR="00824CB2">
        <w:t>. Interestingly enough few public servants in residence and fellows answered the survey</w:t>
      </w:r>
      <w:r w:rsidR="002B51EE">
        <w:t xml:space="preserve"> (0.6%)</w:t>
      </w:r>
      <w:r w:rsidR="00824CB2">
        <w:t>.</w:t>
      </w:r>
    </w:p>
    <w:p w14:paraId="3F0CFE0B" w14:textId="77777777" w:rsidR="006E1358" w:rsidRDefault="006E1358" w:rsidP="00327849">
      <w:pPr>
        <w:spacing w:line="360" w:lineRule="auto"/>
      </w:pPr>
    </w:p>
    <w:p w14:paraId="707ABDD1" w14:textId="77777777" w:rsidR="00461CFA" w:rsidRDefault="00461CFA" w:rsidP="00327849">
      <w:pPr>
        <w:spacing w:line="360" w:lineRule="auto"/>
      </w:pPr>
      <w:r>
        <w:t xml:space="preserve">In terms of fields of analysis, the academic respondents were </w:t>
      </w:r>
      <w:r w:rsidR="002E1BD3">
        <w:t>allowed</w:t>
      </w:r>
      <w:r>
        <w:t xml:space="preserve"> to indicate up to three fields of research in which they operated. </w:t>
      </w:r>
      <w:r w:rsidR="002E1BD3">
        <w:t xml:space="preserve">The most common answers are summarized in the following table. </w:t>
      </w:r>
    </w:p>
    <w:p w14:paraId="2FD0E241" w14:textId="77777777" w:rsidR="00461CFA" w:rsidRDefault="00461CFA" w:rsidP="00327849">
      <w:pPr>
        <w:spacing w:line="360" w:lineRule="auto"/>
      </w:pPr>
    </w:p>
    <w:p w14:paraId="7B849DAB" w14:textId="77777777" w:rsidR="00461CFA" w:rsidRPr="00291C26" w:rsidRDefault="00461CFA" w:rsidP="00327849">
      <w:pPr>
        <w:spacing w:line="360" w:lineRule="auto"/>
        <w:rPr>
          <w:i/>
        </w:rPr>
      </w:pPr>
      <w:r w:rsidRPr="00461CFA">
        <w:rPr>
          <w:i/>
        </w:rPr>
        <w:t xml:space="preserve">Table </w:t>
      </w:r>
      <w:r w:rsidR="008B25A4">
        <w:rPr>
          <w:i/>
        </w:rPr>
        <w:t>3</w:t>
      </w:r>
      <w:r>
        <w:rPr>
          <w:i/>
        </w:rPr>
        <w:t xml:space="preserve">. </w:t>
      </w:r>
      <w:r w:rsidR="00B54E08">
        <w:rPr>
          <w:i/>
        </w:rPr>
        <w:t>Top Four Fields of Research</w:t>
      </w:r>
    </w:p>
    <w:tbl>
      <w:tblPr>
        <w:tblStyle w:val="Trameclaire-Accent3"/>
        <w:tblW w:w="0" w:type="auto"/>
        <w:tblLook w:val="04A0" w:firstRow="1" w:lastRow="0" w:firstColumn="1" w:lastColumn="0" w:noHBand="0" w:noVBand="1"/>
      </w:tblPr>
      <w:tblGrid>
        <w:gridCol w:w="4473"/>
        <w:gridCol w:w="1160"/>
        <w:gridCol w:w="1228"/>
        <w:gridCol w:w="1183"/>
        <w:gridCol w:w="662"/>
      </w:tblGrid>
      <w:tr w:rsidR="00B54E08" w:rsidRPr="00B54E08" w14:paraId="4D162289" w14:textId="77777777">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tcPr>
          <w:p w14:paraId="29A1A2F5" w14:textId="77777777" w:rsidR="00B54E08" w:rsidRPr="00B54E08" w:rsidRDefault="00B54E08" w:rsidP="00B54E08">
            <w:pPr>
              <w:rPr>
                <w:rFonts w:ascii="Microsoft Sans Serif" w:eastAsia="Times New Roman" w:hAnsi="Microsoft Sans Serif" w:cs="Microsoft Sans Serif"/>
                <w:sz w:val="20"/>
                <w:szCs w:val="20"/>
                <w:lang w:val="en-CA" w:eastAsia="en-CA"/>
              </w:rPr>
            </w:pPr>
          </w:p>
        </w:tc>
        <w:tc>
          <w:tcPr>
            <w:tcW w:w="0" w:type="auto"/>
            <w:noWrap/>
          </w:tcPr>
          <w:p w14:paraId="38F551F8" w14:textId="77777777" w:rsidR="00B54E08" w:rsidRPr="00B54E08" w:rsidRDefault="00B54E08" w:rsidP="00B54E08">
            <w:pPr>
              <w:jc w:val="center"/>
              <w:cnfStyle w:val="100000000000" w:firstRow="1"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color w:val="auto"/>
                <w:sz w:val="20"/>
                <w:szCs w:val="20"/>
                <w:lang w:val="en-CA" w:eastAsia="en-CA"/>
              </w:rPr>
            </w:pPr>
            <w:r w:rsidRPr="00B54E08">
              <w:rPr>
                <w:rFonts w:ascii="Microsoft Sans Serif" w:eastAsia="Times New Roman" w:hAnsi="Microsoft Sans Serif" w:cs="Microsoft Sans Serif"/>
                <w:color w:val="auto"/>
                <w:sz w:val="20"/>
                <w:szCs w:val="20"/>
                <w:lang w:val="en-CA" w:eastAsia="en-CA"/>
              </w:rPr>
              <w:t>1st Choice</w:t>
            </w:r>
          </w:p>
        </w:tc>
        <w:tc>
          <w:tcPr>
            <w:tcW w:w="1228" w:type="dxa"/>
            <w:noWrap/>
          </w:tcPr>
          <w:p w14:paraId="36565D14" w14:textId="77777777" w:rsidR="00B54E08" w:rsidRPr="00B54E08" w:rsidRDefault="00B54E08" w:rsidP="00B54E08">
            <w:pPr>
              <w:jc w:val="center"/>
              <w:cnfStyle w:val="100000000000" w:firstRow="1"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color w:val="auto"/>
                <w:sz w:val="20"/>
                <w:szCs w:val="20"/>
                <w:lang w:val="en-CA" w:eastAsia="en-CA"/>
              </w:rPr>
            </w:pPr>
            <w:r w:rsidRPr="00B54E08">
              <w:rPr>
                <w:rFonts w:ascii="Microsoft Sans Serif" w:eastAsia="Times New Roman" w:hAnsi="Microsoft Sans Serif" w:cs="Microsoft Sans Serif"/>
                <w:color w:val="auto"/>
                <w:sz w:val="20"/>
                <w:szCs w:val="20"/>
                <w:lang w:val="en-CA" w:eastAsia="en-CA"/>
              </w:rPr>
              <w:t>2nd Choice</w:t>
            </w:r>
          </w:p>
        </w:tc>
        <w:tc>
          <w:tcPr>
            <w:tcW w:w="1183" w:type="dxa"/>
            <w:noWrap/>
          </w:tcPr>
          <w:p w14:paraId="2A3D94C5" w14:textId="77777777" w:rsidR="00B54E08" w:rsidRPr="00B54E08" w:rsidRDefault="00B54E08" w:rsidP="00B54E08">
            <w:pPr>
              <w:jc w:val="center"/>
              <w:cnfStyle w:val="100000000000" w:firstRow="1"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color w:val="auto"/>
                <w:sz w:val="20"/>
                <w:szCs w:val="20"/>
                <w:lang w:val="en-CA" w:eastAsia="en-CA"/>
              </w:rPr>
            </w:pPr>
            <w:r w:rsidRPr="00B54E08">
              <w:rPr>
                <w:rFonts w:ascii="Microsoft Sans Serif" w:eastAsia="Times New Roman" w:hAnsi="Microsoft Sans Serif" w:cs="Microsoft Sans Serif"/>
                <w:color w:val="auto"/>
                <w:sz w:val="20"/>
                <w:szCs w:val="20"/>
                <w:lang w:val="en-CA" w:eastAsia="en-CA"/>
              </w:rPr>
              <w:t>3rd Choice</w:t>
            </w:r>
          </w:p>
        </w:tc>
        <w:tc>
          <w:tcPr>
            <w:tcW w:w="0" w:type="auto"/>
            <w:noWrap/>
          </w:tcPr>
          <w:p w14:paraId="17810E81" w14:textId="77777777" w:rsidR="00B54E08" w:rsidRPr="00B54E08" w:rsidRDefault="00B54E08" w:rsidP="00B54E08">
            <w:pPr>
              <w:jc w:val="center"/>
              <w:cnfStyle w:val="100000000000" w:firstRow="1"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color w:val="auto"/>
                <w:sz w:val="20"/>
                <w:szCs w:val="20"/>
                <w:lang w:val="en-CA" w:eastAsia="en-CA"/>
              </w:rPr>
            </w:pPr>
            <w:r w:rsidRPr="00B54E08">
              <w:rPr>
                <w:rFonts w:ascii="Microsoft Sans Serif" w:eastAsia="Times New Roman" w:hAnsi="Microsoft Sans Serif" w:cs="Microsoft Sans Serif"/>
                <w:color w:val="auto"/>
                <w:sz w:val="20"/>
                <w:szCs w:val="20"/>
                <w:lang w:val="en-CA" w:eastAsia="en-CA"/>
              </w:rPr>
              <w:t>Total</w:t>
            </w:r>
          </w:p>
        </w:tc>
      </w:tr>
      <w:tr w:rsidR="00B54E08" w:rsidRPr="00B54E08" w14:paraId="2F629743" w14:textId="77777777">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vAlign w:val="center"/>
          </w:tcPr>
          <w:p w14:paraId="6537BA08" w14:textId="77777777" w:rsidR="00B54E08" w:rsidRPr="00B54E08" w:rsidRDefault="00B54E08" w:rsidP="006267CE">
            <w:pPr>
              <w:rPr>
                <w:rFonts w:ascii="Microsoft Sans Serif" w:eastAsia="Times New Roman" w:hAnsi="Microsoft Sans Serif" w:cs="Microsoft Sans Serif"/>
                <w:b w:val="0"/>
                <w:color w:val="auto"/>
                <w:sz w:val="20"/>
                <w:szCs w:val="20"/>
                <w:lang w:val="en-CA" w:eastAsia="en-CA"/>
              </w:rPr>
            </w:pPr>
            <w:r w:rsidRPr="00B54E08">
              <w:rPr>
                <w:rFonts w:ascii="Microsoft Sans Serif" w:eastAsia="Times New Roman" w:hAnsi="Microsoft Sans Serif" w:cs="Microsoft Sans Serif"/>
                <w:b w:val="0"/>
                <w:color w:val="auto"/>
                <w:sz w:val="20"/>
                <w:szCs w:val="20"/>
                <w:lang w:val="en-CA" w:eastAsia="en-CA"/>
              </w:rPr>
              <w:t>Public Policy and Policy Analysis</w:t>
            </w:r>
          </w:p>
        </w:tc>
        <w:tc>
          <w:tcPr>
            <w:tcW w:w="0" w:type="auto"/>
            <w:noWrap/>
            <w:vAlign w:val="center"/>
          </w:tcPr>
          <w:p w14:paraId="25E8C410" w14:textId="77777777" w:rsidR="00B54E08" w:rsidRPr="00B54E08" w:rsidRDefault="00B54E08" w:rsidP="00B54E08">
            <w:pPr>
              <w:jc w:val="center"/>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color w:val="auto"/>
                <w:sz w:val="20"/>
                <w:szCs w:val="20"/>
                <w:lang w:val="en-CA" w:eastAsia="en-CA"/>
              </w:rPr>
            </w:pPr>
            <w:r w:rsidRPr="00B54E08">
              <w:rPr>
                <w:rFonts w:ascii="Microsoft Sans Serif" w:eastAsia="Times New Roman" w:hAnsi="Microsoft Sans Serif" w:cs="Microsoft Sans Serif"/>
                <w:color w:val="auto"/>
                <w:sz w:val="20"/>
                <w:szCs w:val="20"/>
                <w:lang w:val="en-CA" w:eastAsia="en-CA"/>
              </w:rPr>
              <w:t>53</w:t>
            </w:r>
          </w:p>
        </w:tc>
        <w:tc>
          <w:tcPr>
            <w:tcW w:w="1228" w:type="dxa"/>
            <w:noWrap/>
            <w:vAlign w:val="center"/>
          </w:tcPr>
          <w:p w14:paraId="6DB656A7" w14:textId="77777777" w:rsidR="00B54E08" w:rsidRPr="00B54E08" w:rsidRDefault="00B54E08" w:rsidP="00B54E08">
            <w:pPr>
              <w:jc w:val="center"/>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color w:val="auto"/>
                <w:sz w:val="20"/>
                <w:szCs w:val="20"/>
                <w:lang w:val="en-CA" w:eastAsia="en-CA"/>
              </w:rPr>
            </w:pPr>
            <w:r w:rsidRPr="00B54E08">
              <w:rPr>
                <w:rFonts w:ascii="Microsoft Sans Serif" w:eastAsia="Times New Roman" w:hAnsi="Microsoft Sans Serif" w:cs="Microsoft Sans Serif"/>
                <w:color w:val="auto"/>
                <w:sz w:val="20"/>
                <w:szCs w:val="20"/>
                <w:lang w:val="en-CA" w:eastAsia="en-CA"/>
              </w:rPr>
              <w:t>64</w:t>
            </w:r>
          </w:p>
        </w:tc>
        <w:tc>
          <w:tcPr>
            <w:tcW w:w="1183" w:type="dxa"/>
            <w:noWrap/>
            <w:vAlign w:val="center"/>
          </w:tcPr>
          <w:p w14:paraId="07273165" w14:textId="77777777" w:rsidR="00B54E08" w:rsidRPr="00B54E08" w:rsidRDefault="00B54E08" w:rsidP="00B54E08">
            <w:pPr>
              <w:jc w:val="center"/>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color w:val="auto"/>
                <w:sz w:val="20"/>
                <w:szCs w:val="20"/>
                <w:lang w:val="en-CA" w:eastAsia="en-CA"/>
              </w:rPr>
            </w:pPr>
            <w:r w:rsidRPr="00B54E08">
              <w:rPr>
                <w:rFonts w:ascii="Microsoft Sans Serif" w:eastAsia="Times New Roman" w:hAnsi="Microsoft Sans Serif" w:cs="Microsoft Sans Serif"/>
                <w:color w:val="auto"/>
                <w:sz w:val="20"/>
                <w:szCs w:val="20"/>
                <w:lang w:val="en-CA" w:eastAsia="en-CA"/>
              </w:rPr>
              <w:t>22</w:t>
            </w:r>
          </w:p>
        </w:tc>
        <w:tc>
          <w:tcPr>
            <w:tcW w:w="0" w:type="auto"/>
            <w:noWrap/>
            <w:vAlign w:val="center"/>
          </w:tcPr>
          <w:p w14:paraId="059E9263" w14:textId="77777777" w:rsidR="00B54E08" w:rsidRPr="00B54E08" w:rsidRDefault="00B54E08" w:rsidP="00B54E08">
            <w:pPr>
              <w:jc w:val="center"/>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color w:val="auto"/>
                <w:sz w:val="20"/>
                <w:szCs w:val="20"/>
                <w:lang w:val="en-CA" w:eastAsia="en-CA"/>
              </w:rPr>
            </w:pPr>
            <w:r w:rsidRPr="00B54E08">
              <w:rPr>
                <w:rFonts w:ascii="Microsoft Sans Serif" w:eastAsia="Times New Roman" w:hAnsi="Microsoft Sans Serif" w:cs="Microsoft Sans Serif"/>
                <w:color w:val="auto"/>
                <w:sz w:val="20"/>
                <w:szCs w:val="20"/>
                <w:lang w:val="en-CA" w:eastAsia="en-CA"/>
              </w:rPr>
              <w:t>139</w:t>
            </w:r>
          </w:p>
        </w:tc>
      </w:tr>
      <w:tr w:rsidR="00B54E08" w:rsidRPr="00B54E08" w14:paraId="7D5CF00C" w14:textId="77777777">
        <w:trPr>
          <w:trHeight w:val="39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451C120" w14:textId="77777777" w:rsidR="00B54E08" w:rsidRPr="00B54E08" w:rsidRDefault="00B54E08" w:rsidP="006267CE">
            <w:pPr>
              <w:rPr>
                <w:rFonts w:ascii="Microsoft Sans Serif" w:eastAsia="Times New Roman" w:hAnsi="Microsoft Sans Serif" w:cs="Microsoft Sans Serif"/>
                <w:b w:val="0"/>
                <w:color w:val="auto"/>
                <w:sz w:val="20"/>
                <w:szCs w:val="20"/>
                <w:lang w:val="en-CA" w:eastAsia="en-CA"/>
              </w:rPr>
            </w:pPr>
            <w:r w:rsidRPr="00B54E08">
              <w:rPr>
                <w:rFonts w:ascii="Microsoft Sans Serif" w:eastAsia="Times New Roman" w:hAnsi="Microsoft Sans Serif" w:cs="Microsoft Sans Serif"/>
                <w:b w:val="0"/>
                <w:color w:val="auto"/>
                <w:sz w:val="20"/>
                <w:szCs w:val="20"/>
                <w:lang w:val="en-CA" w:eastAsia="en-CA"/>
              </w:rPr>
              <w:t>Canadian Government and Politics</w:t>
            </w:r>
          </w:p>
        </w:tc>
        <w:tc>
          <w:tcPr>
            <w:tcW w:w="0" w:type="auto"/>
            <w:noWrap/>
            <w:vAlign w:val="center"/>
          </w:tcPr>
          <w:p w14:paraId="7F6AD604" w14:textId="77777777" w:rsidR="00B54E08" w:rsidRPr="00B54E08" w:rsidRDefault="00B54E08" w:rsidP="00B54E08">
            <w:pPr>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color w:val="auto"/>
                <w:sz w:val="20"/>
                <w:szCs w:val="20"/>
                <w:lang w:val="en-CA" w:eastAsia="en-CA"/>
              </w:rPr>
            </w:pPr>
            <w:r w:rsidRPr="00B54E08">
              <w:rPr>
                <w:rFonts w:ascii="Microsoft Sans Serif" w:eastAsia="Times New Roman" w:hAnsi="Microsoft Sans Serif" w:cs="Microsoft Sans Serif"/>
                <w:color w:val="auto"/>
                <w:sz w:val="20"/>
                <w:szCs w:val="20"/>
                <w:lang w:val="en-CA" w:eastAsia="en-CA"/>
              </w:rPr>
              <w:t>55</w:t>
            </w:r>
          </w:p>
        </w:tc>
        <w:tc>
          <w:tcPr>
            <w:tcW w:w="1228" w:type="dxa"/>
            <w:noWrap/>
            <w:vAlign w:val="center"/>
          </w:tcPr>
          <w:p w14:paraId="40A15F26" w14:textId="77777777" w:rsidR="00B54E08" w:rsidRPr="00B54E08" w:rsidRDefault="00B54E08" w:rsidP="00B54E08">
            <w:pPr>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color w:val="auto"/>
                <w:sz w:val="20"/>
                <w:szCs w:val="20"/>
                <w:lang w:val="en-CA" w:eastAsia="en-CA"/>
              </w:rPr>
            </w:pPr>
            <w:r w:rsidRPr="00B54E08">
              <w:rPr>
                <w:rFonts w:ascii="Microsoft Sans Serif" w:eastAsia="Times New Roman" w:hAnsi="Microsoft Sans Serif" w:cs="Microsoft Sans Serif"/>
                <w:color w:val="auto"/>
                <w:sz w:val="20"/>
                <w:szCs w:val="20"/>
                <w:lang w:val="en-CA" w:eastAsia="en-CA"/>
              </w:rPr>
              <w:t>28</w:t>
            </w:r>
          </w:p>
        </w:tc>
        <w:tc>
          <w:tcPr>
            <w:tcW w:w="1183" w:type="dxa"/>
            <w:noWrap/>
            <w:vAlign w:val="center"/>
          </w:tcPr>
          <w:p w14:paraId="09CC0CD9" w14:textId="77777777" w:rsidR="00B54E08" w:rsidRPr="00B54E08" w:rsidRDefault="00B54E08" w:rsidP="00B54E08">
            <w:pPr>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color w:val="auto"/>
                <w:sz w:val="20"/>
                <w:szCs w:val="20"/>
                <w:lang w:val="en-CA" w:eastAsia="en-CA"/>
              </w:rPr>
            </w:pPr>
            <w:r w:rsidRPr="00B54E08">
              <w:rPr>
                <w:rFonts w:ascii="Microsoft Sans Serif" w:eastAsia="Times New Roman" w:hAnsi="Microsoft Sans Serif" w:cs="Microsoft Sans Serif"/>
                <w:color w:val="auto"/>
                <w:sz w:val="20"/>
                <w:szCs w:val="20"/>
                <w:lang w:val="en-CA" w:eastAsia="en-CA"/>
              </w:rPr>
              <w:t>24</w:t>
            </w:r>
          </w:p>
        </w:tc>
        <w:tc>
          <w:tcPr>
            <w:tcW w:w="0" w:type="auto"/>
            <w:noWrap/>
            <w:vAlign w:val="center"/>
          </w:tcPr>
          <w:p w14:paraId="7415A4B7" w14:textId="77777777" w:rsidR="00B54E08" w:rsidRPr="00B54E08" w:rsidRDefault="00B54E08" w:rsidP="00B54E08">
            <w:pPr>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color w:val="auto"/>
                <w:sz w:val="20"/>
                <w:szCs w:val="20"/>
                <w:lang w:val="en-CA" w:eastAsia="en-CA"/>
              </w:rPr>
            </w:pPr>
            <w:r w:rsidRPr="00B54E08">
              <w:rPr>
                <w:rFonts w:ascii="Microsoft Sans Serif" w:eastAsia="Times New Roman" w:hAnsi="Microsoft Sans Serif" w:cs="Microsoft Sans Serif"/>
                <w:color w:val="auto"/>
                <w:sz w:val="20"/>
                <w:szCs w:val="20"/>
                <w:lang w:val="en-CA" w:eastAsia="en-CA"/>
              </w:rPr>
              <w:t>107</w:t>
            </w:r>
          </w:p>
        </w:tc>
      </w:tr>
      <w:tr w:rsidR="00B54E08" w:rsidRPr="00B54E08" w14:paraId="5FB61199" w14:textId="77777777">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0" w:type="auto"/>
            <w:vAlign w:val="center"/>
          </w:tcPr>
          <w:p w14:paraId="7171E807" w14:textId="77777777" w:rsidR="00B54E08" w:rsidRPr="00B54E08" w:rsidRDefault="00B54E08" w:rsidP="006267CE">
            <w:pPr>
              <w:rPr>
                <w:rFonts w:ascii="Microsoft Sans Serif" w:eastAsia="Times New Roman" w:hAnsi="Microsoft Sans Serif" w:cs="Microsoft Sans Serif"/>
                <w:b w:val="0"/>
                <w:color w:val="auto"/>
                <w:sz w:val="20"/>
                <w:szCs w:val="20"/>
                <w:lang w:val="en-CA" w:eastAsia="en-CA"/>
              </w:rPr>
            </w:pPr>
            <w:r w:rsidRPr="00B54E08">
              <w:rPr>
                <w:rFonts w:ascii="Microsoft Sans Serif" w:eastAsia="Times New Roman" w:hAnsi="Microsoft Sans Serif" w:cs="Microsoft Sans Serif"/>
                <w:b w:val="0"/>
                <w:color w:val="auto"/>
                <w:sz w:val="20"/>
                <w:szCs w:val="20"/>
                <w:lang w:val="en-CA" w:eastAsia="en-CA"/>
              </w:rPr>
              <w:t>International Relations and International Studies</w:t>
            </w:r>
          </w:p>
        </w:tc>
        <w:tc>
          <w:tcPr>
            <w:tcW w:w="0" w:type="auto"/>
            <w:noWrap/>
            <w:vAlign w:val="center"/>
          </w:tcPr>
          <w:p w14:paraId="39DF557F" w14:textId="77777777" w:rsidR="00B54E08" w:rsidRPr="00B54E08" w:rsidRDefault="00B54E08" w:rsidP="00B54E08">
            <w:pPr>
              <w:jc w:val="center"/>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color w:val="auto"/>
                <w:sz w:val="20"/>
                <w:szCs w:val="20"/>
                <w:lang w:val="en-CA" w:eastAsia="en-CA"/>
              </w:rPr>
            </w:pPr>
            <w:r w:rsidRPr="00B54E08">
              <w:rPr>
                <w:rFonts w:ascii="Microsoft Sans Serif" w:eastAsia="Times New Roman" w:hAnsi="Microsoft Sans Serif" w:cs="Microsoft Sans Serif"/>
                <w:color w:val="auto"/>
                <w:sz w:val="20"/>
                <w:szCs w:val="20"/>
                <w:lang w:val="en-CA" w:eastAsia="en-CA"/>
              </w:rPr>
              <w:t>49</w:t>
            </w:r>
          </w:p>
        </w:tc>
        <w:tc>
          <w:tcPr>
            <w:tcW w:w="1228" w:type="dxa"/>
            <w:noWrap/>
            <w:vAlign w:val="center"/>
          </w:tcPr>
          <w:p w14:paraId="47DFB3D7" w14:textId="77777777" w:rsidR="00B54E08" w:rsidRPr="00B54E08" w:rsidRDefault="00B54E08" w:rsidP="00B54E08">
            <w:pPr>
              <w:jc w:val="center"/>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color w:val="auto"/>
                <w:sz w:val="20"/>
                <w:szCs w:val="20"/>
                <w:lang w:val="en-CA" w:eastAsia="en-CA"/>
              </w:rPr>
            </w:pPr>
            <w:r w:rsidRPr="00B54E08">
              <w:rPr>
                <w:rFonts w:ascii="Microsoft Sans Serif" w:eastAsia="Times New Roman" w:hAnsi="Microsoft Sans Serif" w:cs="Microsoft Sans Serif"/>
                <w:color w:val="auto"/>
                <w:sz w:val="20"/>
                <w:szCs w:val="20"/>
                <w:lang w:val="en-CA" w:eastAsia="en-CA"/>
              </w:rPr>
              <w:t>28</w:t>
            </w:r>
          </w:p>
        </w:tc>
        <w:tc>
          <w:tcPr>
            <w:tcW w:w="1183" w:type="dxa"/>
            <w:noWrap/>
            <w:vAlign w:val="center"/>
          </w:tcPr>
          <w:p w14:paraId="6C031C9D" w14:textId="77777777" w:rsidR="00B54E08" w:rsidRPr="00B54E08" w:rsidRDefault="00B54E08" w:rsidP="00B54E08">
            <w:pPr>
              <w:jc w:val="center"/>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color w:val="auto"/>
                <w:sz w:val="20"/>
                <w:szCs w:val="20"/>
                <w:lang w:val="en-CA" w:eastAsia="en-CA"/>
              </w:rPr>
            </w:pPr>
            <w:r w:rsidRPr="00B54E08">
              <w:rPr>
                <w:rFonts w:ascii="Microsoft Sans Serif" w:eastAsia="Times New Roman" w:hAnsi="Microsoft Sans Serif" w:cs="Microsoft Sans Serif"/>
                <w:color w:val="auto"/>
                <w:sz w:val="20"/>
                <w:szCs w:val="20"/>
                <w:lang w:val="en-CA" w:eastAsia="en-CA"/>
              </w:rPr>
              <w:t>14</w:t>
            </w:r>
          </w:p>
        </w:tc>
        <w:tc>
          <w:tcPr>
            <w:tcW w:w="0" w:type="auto"/>
            <w:noWrap/>
            <w:vAlign w:val="center"/>
          </w:tcPr>
          <w:p w14:paraId="4E6DA740" w14:textId="77777777" w:rsidR="00B54E08" w:rsidRPr="00B54E08" w:rsidRDefault="00B54E08" w:rsidP="00B54E08">
            <w:pPr>
              <w:jc w:val="center"/>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color w:val="auto"/>
                <w:sz w:val="20"/>
                <w:szCs w:val="20"/>
                <w:lang w:val="en-CA" w:eastAsia="en-CA"/>
              </w:rPr>
            </w:pPr>
            <w:r w:rsidRPr="00B54E08">
              <w:rPr>
                <w:rFonts w:ascii="Microsoft Sans Serif" w:eastAsia="Times New Roman" w:hAnsi="Microsoft Sans Serif" w:cs="Microsoft Sans Serif"/>
                <w:color w:val="auto"/>
                <w:sz w:val="20"/>
                <w:szCs w:val="20"/>
                <w:lang w:val="en-CA" w:eastAsia="en-CA"/>
              </w:rPr>
              <w:t>91</w:t>
            </w:r>
          </w:p>
        </w:tc>
      </w:tr>
      <w:tr w:rsidR="00B54E08" w:rsidRPr="00B54E08" w14:paraId="180860DF" w14:textId="77777777">
        <w:trPr>
          <w:trHeight w:val="413"/>
        </w:trPr>
        <w:tc>
          <w:tcPr>
            <w:cnfStyle w:val="001000000000" w:firstRow="0" w:lastRow="0" w:firstColumn="1" w:lastColumn="0" w:oddVBand="0" w:evenVBand="0" w:oddHBand="0" w:evenHBand="0" w:firstRowFirstColumn="0" w:firstRowLastColumn="0" w:lastRowFirstColumn="0" w:lastRowLastColumn="0"/>
            <w:tcW w:w="0" w:type="auto"/>
            <w:vAlign w:val="center"/>
          </w:tcPr>
          <w:p w14:paraId="66CE0222" w14:textId="77777777" w:rsidR="00B54E08" w:rsidRPr="00B54E08" w:rsidRDefault="00B54E08" w:rsidP="006267CE">
            <w:pPr>
              <w:rPr>
                <w:rFonts w:ascii="Microsoft Sans Serif" w:eastAsia="Times New Roman" w:hAnsi="Microsoft Sans Serif" w:cs="Microsoft Sans Serif"/>
                <w:b w:val="0"/>
                <w:color w:val="auto"/>
                <w:sz w:val="20"/>
                <w:szCs w:val="20"/>
                <w:lang w:val="en-CA" w:eastAsia="en-CA"/>
              </w:rPr>
            </w:pPr>
            <w:r w:rsidRPr="00B54E08">
              <w:rPr>
                <w:rFonts w:ascii="Microsoft Sans Serif" w:eastAsia="Times New Roman" w:hAnsi="Microsoft Sans Serif" w:cs="Microsoft Sans Serif"/>
                <w:b w:val="0"/>
                <w:color w:val="auto"/>
                <w:sz w:val="20"/>
                <w:szCs w:val="20"/>
                <w:lang w:val="en-CA" w:eastAsia="en-CA"/>
              </w:rPr>
              <w:t>Public Administration</w:t>
            </w:r>
          </w:p>
        </w:tc>
        <w:tc>
          <w:tcPr>
            <w:tcW w:w="0" w:type="auto"/>
            <w:noWrap/>
            <w:vAlign w:val="center"/>
          </w:tcPr>
          <w:p w14:paraId="0834AD3E" w14:textId="77777777" w:rsidR="00B54E08" w:rsidRPr="00B54E08" w:rsidRDefault="00B54E08" w:rsidP="00B54E08">
            <w:pPr>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color w:val="auto"/>
                <w:sz w:val="20"/>
                <w:szCs w:val="20"/>
                <w:lang w:val="en-CA" w:eastAsia="en-CA"/>
              </w:rPr>
            </w:pPr>
            <w:r w:rsidRPr="00B54E08">
              <w:rPr>
                <w:rFonts w:ascii="Microsoft Sans Serif" w:eastAsia="Times New Roman" w:hAnsi="Microsoft Sans Serif" w:cs="Microsoft Sans Serif"/>
                <w:color w:val="auto"/>
                <w:sz w:val="20"/>
                <w:szCs w:val="20"/>
                <w:lang w:val="en-CA" w:eastAsia="en-CA"/>
              </w:rPr>
              <w:t>34</w:t>
            </w:r>
          </w:p>
        </w:tc>
        <w:tc>
          <w:tcPr>
            <w:tcW w:w="1228" w:type="dxa"/>
            <w:noWrap/>
            <w:vAlign w:val="center"/>
          </w:tcPr>
          <w:p w14:paraId="67E6E3A9" w14:textId="77777777" w:rsidR="00B54E08" w:rsidRPr="00B54E08" w:rsidRDefault="00B54E08" w:rsidP="00B54E08">
            <w:pPr>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color w:val="auto"/>
                <w:sz w:val="20"/>
                <w:szCs w:val="20"/>
                <w:lang w:val="en-CA" w:eastAsia="en-CA"/>
              </w:rPr>
            </w:pPr>
            <w:r w:rsidRPr="00B54E08">
              <w:rPr>
                <w:rFonts w:ascii="Microsoft Sans Serif" w:eastAsia="Times New Roman" w:hAnsi="Microsoft Sans Serif" w:cs="Microsoft Sans Serif"/>
                <w:color w:val="auto"/>
                <w:sz w:val="20"/>
                <w:szCs w:val="20"/>
                <w:lang w:val="en-CA" w:eastAsia="en-CA"/>
              </w:rPr>
              <w:t>22</w:t>
            </w:r>
          </w:p>
        </w:tc>
        <w:tc>
          <w:tcPr>
            <w:tcW w:w="1183" w:type="dxa"/>
            <w:noWrap/>
            <w:vAlign w:val="center"/>
          </w:tcPr>
          <w:p w14:paraId="1FB8B6D1" w14:textId="77777777" w:rsidR="00B54E08" w:rsidRPr="00B54E08" w:rsidRDefault="00B54E08" w:rsidP="00B54E08">
            <w:pPr>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color w:val="auto"/>
                <w:sz w:val="20"/>
                <w:szCs w:val="20"/>
                <w:lang w:val="en-CA" w:eastAsia="en-CA"/>
              </w:rPr>
            </w:pPr>
            <w:r w:rsidRPr="00B54E08">
              <w:rPr>
                <w:rFonts w:ascii="Microsoft Sans Serif" w:eastAsia="Times New Roman" w:hAnsi="Microsoft Sans Serif" w:cs="Microsoft Sans Serif"/>
                <w:color w:val="auto"/>
                <w:sz w:val="20"/>
                <w:szCs w:val="20"/>
                <w:lang w:val="en-CA" w:eastAsia="en-CA"/>
              </w:rPr>
              <w:t>10</w:t>
            </w:r>
          </w:p>
        </w:tc>
        <w:tc>
          <w:tcPr>
            <w:tcW w:w="0" w:type="auto"/>
            <w:noWrap/>
            <w:vAlign w:val="center"/>
          </w:tcPr>
          <w:p w14:paraId="0C4A4366" w14:textId="77777777" w:rsidR="00B54E08" w:rsidRPr="00B54E08" w:rsidRDefault="00B54E08" w:rsidP="00B54E08">
            <w:pPr>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color w:val="auto"/>
                <w:sz w:val="20"/>
                <w:szCs w:val="20"/>
                <w:lang w:val="en-CA" w:eastAsia="en-CA"/>
              </w:rPr>
            </w:pPr>
            <w:r w:rsidRPr="00B54E08">
              <w:rPr>
                <w:rFonts w:ascii="Microsoft Sans Serif" w:eastAsia="Times New Roman" w:hAnsi="Microsoft Sans Serif" w:cs="Microsoft Sans Serif"/>
                <w:color w:val="auto"/>
                <w:sz w:val="20"/>
                <w:szCs w:val="20"/>
                <w:lang w:val="en-CA" w:eastAsia="en-CA"/>
              </w:rPr>
              <w:t>66</w:t>
            </w:r>
          </w:p>
        </w:tc>
      </w:tr>
    </w:tbl>
    <w:p w14:paraId="14790310" w14:textId="77777777" w:rsidR="00461CFA" w:rsidRDefault="00461CFA" w:rsidP="00327849">
      <w:pPr>
        <w:spacing w:line="360" w:lineRule="auto"/>
      </w:pPr>
    </w:p>
    <w:p w14:paraId="01772B32" w14:textId="77777777" w:rsidR="008B25A4" w:rsidRDefault="00824CB2" w:rsidP="00327849">
      <w:pPr>
        <w:spacing w:line="360" w:lineRule="auto"/>
      </w:pPr>
      <w:proofErr w:type="gramStart"/>
      <w:r>
        <w:t>Finally</w:t>
      </w:r>
      <w:proofErr w:type="gramEnd"/>
      <w:r>
        <w:t xml:space="preserve"> we inquired about whether any of the respondents had had any previous employment in government. Only 38 respondents skipped this answer and 120 (35.7%) answered positively. </w:t>
      </w:r>
      <w:r w:rsidR="003C3B2A">
        <w:t>M</w:t>
      </w:r>
      <w:r>
        <w:t xml:space="preserve">ultiple choices were available and therefore the </w:t>
      </w:r>
      <w:r w:rsidR="00E853E4">
        <w:t xml:space="preserve">sum of the </w:t>
      </w:r>
      <w:r>
        <w:t>percentage</w:t>
      </w:r>
      <w:r w:rsidR="00E853E4">
        <w:t>s in the chart is larger than 100%.</w:t>
      </w:r>
      <w:r>
        <w:t xml:space="preserve"> </w:t>
      </w:r>
    </w:p>
    <w:p w14:paraId="53C0E159" w14:textId="77777777" w:rsidR="008B25A4" w:rsidRDefault="008B25A4" w:rsidP="00327849">
      <w:pPr>
        <w:spacing w:line="360" w:lineRule="auto"/>
      </w:pPr>
    </w:p>
    <w:p w14:paraId="2991F86A" w14:textId="77777777" w:rsidR="008B25A4" w:rsidRDefault="008B25A4" w:rsidP="00327849">
      <w:pPr>
        <w:spacing w:line="360" w:lineRule="auto"/>
      </w:pPr>
    </w:p>
    <w:p w14:paraId="5FF3BAB8" w14:textId="77777777" w:rsidR="008B25A4" w:rsidRDefault="008B25A4" w:rsidP="00327849">
      <w:pPr>
        <w:spacing w:line="360" w:lineRule="auto"/>
      </w:pPr>
    </w:p>
    <w:p w14:paraId="244F183C" w14:textId="77777777" w:rsidR="00824CB2" w:rsidRDefault="00824CB2" w:rsidP="00327849">
      <w:pPr>
        <w:spacing w:line="360" w:lineRule="auto"/>
      </w:pPr>
    </w:p>
    <w:p w14:paraId="09618526" w14:textId="77777777" w:rsidR="008B25A4" w:rsidRPr="00291C26" w:rsidRDefault="008B25A4" w:rsidP="008B25A4">
      <w:pPr>
        <w:spacing w:line="360" w:lineRule="auto"/>
        <w:rPr>
          <w:i/>
        </w:rPr>
      </w:pPr>
      <w:r w:rsidRPr="00461CFA">
        <w:rPr>
          <w:i/>
        </w:rPr>
        <w:t xml:space="preserve">Table </w:t>
      </w:r>
      <w:r>
        <w:rPr>
          <w:i/>
        </w:rPr>
        <w:t>4. Previous Employment in Government – Canadian Academics</w:t>
      </w:r>
    </w:p>
    <w:tbl>
      <w:tblPr>
        <w:tblStyle w:val="Trameclaire-Accent3"/>
        <w:tblW w:w="0" w:type="auto"/>
        <w:tblLook w:val="04A0" w:firstRow="1" w:lastRow="0" w:firstColumn="1" w:lastColumn="0" w:noHBand="0" w:noVBand="1"/>
      </w:tblPr>
      <w:tblGrid>
        <w:gridCol w:w="3529"/>
        <w:gridCol w:w="1239"/>
      </w:tblGrid>
      <w:tr w:rsidR="008B25A4" w:rsidRPr="00B54E08" w14:paraId="76E98578" w14:textId="77777777">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noWrap/>
          </w:tcPr>
          <w:p w14:paraId="7D3DC3FD" w14:textId="77777777" w:rsidR="008B25A4" w:rsidRPr="00B54E08" w:rsidRDefault="008B25A4" w:rsidP="00B54E08">
            <w:pPr>
              <w:rPr>
                <w:rFonts w:ascii="Microsoft Sans Serif" w:eastAsia="Times New Roman" w:hAnsi="Microsoft Sans Serif" w:cs="Microsoft Sans Serif"/>
                <w:sz w:val="20"/>
                <w:szCs w:val="20"/>
                <w:lang w:val="en-CA" w:eastAsia="en-CA"/>
              </w:rPr>
            </w:pPr>
          </w:p>
        </w:tc>
        <w:tc>
          <w:tcPr>
            <w:tcW w:w="0" w:type="auto"/>
            <w:noWrap/>
          </w:tcPr>
          <w:p w14:paraId="4594C229" w14:textId="77777777" w:rsidR="008B25A4" w:rsidRPr="00B54E08" w:rsidRDefault="008B25A4" w:rsidP="00B54E08">
            <w:pPr>
              <w:jc w:val="center"/>
              <w:cnfStyle w:val="100000000000" w:firstRow="1"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color w:val="auto"/>
                <w:sz w:val="20"/>
                <w:szCs w:val="20"/>
                <w:lang w:val="en-CA" w:eastAsia="en-CA"/>
              </w:rPr>
            </w:pPr>
            <w:r>
              <w:rPr>
                <w:rFonts w:ascii="Microsoft Sans Serif" w:eastAsia="Times New Roman" w:hAnsi="Microsoft Sans Serif" w:cs="Microsoft Sans Serif"/>
                <w:color w:val="auto"/>
                <w:sz w:val="20"/>
                <w:szCs w:val="20"/>
                <w:lang w:val="en-CA" w:eastAsia="en-CA"/>
              </w:rPr>
              <w:t>Percentage</w:t>
            </w:r>
          </w:p>
        </w:tc>
      </w:tr>
      <w:tr w:rsidR="008B25A4" w:rsidRPr="00B54E08" w14:paraId="12B0B9D2" w14:textId="77777777">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0" w:type="auto"/>
            <w:vAlign w:val="center"/>
          </w:tcPr>
          <w:p w14:paraId="77B23FFB" w14:textId="77777777" w:rsidR="008B25A4" w:rsidRPr="00B54E08" w:rsidRDefault="008B25A4" w:rsidP="008B25A4">
            <w:pPr>
              <w:rPr>
                <w:rFonts w:ascii="Microsoft Sans Serif" w:eastAsia="Times New Roman" w:hAnsi="Microsoft Sans Serif" w:cs="Microsoft Sans Serif"/>
                <w:b w:val="0"/>
                <w:color w:val="auto"/>
                <w:sz w:val="20"/>
                <w:szCs w:val="20"/>
                <w:lang w:val="en-CA" w:eastAsia="en-CA"/>
              </w:rPr>
            </w:pPr>
            <w:r>
              <w:rPr>
                <w:rFonts w:ascii="Microsoft Sans Serif" w:eastAsia="Times New Roman" w:hAnsi="Microsoft Sans Serif" w:cs="Microsoft Sans Serif"/>
                <w:b w:val="0"/>
                <w:color w:val="auto"/>
                <w:sz w:val="20"/>
                <w:szCs w:val="20"/>
                <w:lang w:val="en-CA" w:eastAsia="en-CA"/>
              </w:rPr>
              <w:t>Federal Government</w:t>
            </w:r>
          </w:p>
        </w:tc>
        <w:tc>
          <w:tcPr>
            <w:tcW w:w="0" w:type="auto"/>
            <w:noWrap/>
            <w:vAlign w:val="center"/>
          </w:tcPr>
          <w:p w14:paraId="0C4D75E6" w14:textId="77777777" w:rsidR="008B25A4" w:rsidRPr="00B54E08" w:rsidRDefault="008B25A4" w:rsidP="00B54E08">
            <w:pPr>
              <w:jc w:val="center"/>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color w:val="auto"/>
                <w:sz w:val="20"/>
                <w:szCs w:val="20"/>
                <w:lang w:val="en-CA" w:eastAsia="en-CA"/>
              </w:rPr>
            </w:pPr>
            <w:r>
              <w:rPr>
                <w:rFonts w:ascii="Microsoft Sans Serif" w:eastAsia="Times New Roman" w:hAnsi="Microsoft Sans Serif" w:cs="Microsoft Sans Serif"/>
                <w:color w:val="auto"/>
                <w:sz w:val="20"/>
                <w:szCs w:val="20"/>
                <w:lang w:val="en-CA" w:eastAsia="en-CA"/>
              </w:rPr>
              <w:t>62.7%</w:t>
            </w:r>
          </w:p>
        </w:tc>
      </w:tr>
      <w:tr w:rsidR="008B25A4" w:rsidRPr="00B54E08" w14:paraId="43787D11" w14:textId="77777777">
        <w:trPr>
          <w:trHeight w:val="39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0D568C9" w14:textId="77777777" w:rsidR="008B25A4" w:rsidRPr="00B54E08" w:rsidRDefault="008B25A4" w:rsidP="006267CE">
            <w:pPr>
              <w:rPr>
                <w:rFonts w:ascii="Microsoft Sans Serif" w:eastAsia="Times New Roman" w:hAnsi="Microsoft Sans Serif" w:cs="Microsoft Sans Serif"/>
                <w:b w:val="0"/>
                <w:color w:val="auto"/>
                <w:sz w:val="20"/>
                <w:szCs w:val="20"/>
                <w:lang w:val="en-CA" w:eastAsia="en-CA"/>
              </w:rPr>
            </w:pPr>
            <w:r>
              <w:rPr>
                <w:rFonts w:ascii="Microsoft Sans Serif" w:eastAsia="Times New Roman" w:hAnsi="Microsoft Sans Serif" w:cs="Microsoft Sans Serif"/>
                <w:b w:val="0"/>
                <w:color w:val="auto"/>
                <w:sz w:val="20"/>
                <w:szCs w:val="20"/>
                <w:lang w:val="en-CA" w:eastAsia="en-CA"/>
              </w:rPr>
              <w:t>Provincial and Territorial Government</w:t>
            </w:r>
          </w:p>
        </w:tc>
        <w:tc>
          <w:tcPr>
            <w:tcW w:w="0" w:type="auto"/>
            <w:noWrap/>
            <w:vAlign w:val="center"/>
          </w:tcPr>
          <w:p w14:paraId="3621A30A" w14:textId="77777777" w:rsidR="008B25A4" w:rsidRPr="00B54E08" w:rsidRDefault="008B25A4" w:rsidP="00B54E08">
            <w:pPr>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color w:val="auto"/>
                <w:sz w:val="20"/>
                <w:szCs w:val="20"/>
                <w:lang w:val="en-CA" w:eastAsia="en-CA"/>
              </w:rPr>
            </w:pPr>
            <w:r>
              <w:rPr>
                <w:rFonts w:ascii="Microsoft Sans Serif" w:eastAsia="Times New Roman" w:hAnsi="Microsoft Sans Serif" w:cs="Microsoft Sans Serif"/>
                <w:color w:val="auto"/>
                <w:sz w:val="20"/>
                <w:szCs w:val="20"/>
                <w:lang w:val="en-CA" w:eastAsia="en-CA"/>
              </w:rPr>
              <w:t>49.2%</w:t>
            </w:r>
          </w:p>
        </w:tc>
      </w:tr>
      <w:tr w:rsidR="008B25A4" w:rsidRPr="00B54E08" w14:paraId="41EC7173" w14:textId="77777777">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0" w:type="auto"/>
            <w:vAlign w:val="center"/>
          </w:tcPr>
          <w:p w14:paraId="0062C521" w14:textId="77777777" w:rsidR="008B25A4" w:rsidRPr="00B54E08" w:rsidRDefault="008B25A4" w:rsidP="006267CE">
            <w:pPr>
              <w:rPr>
                <w:rFonts w:ascii="Microsoft Sans Serif" w:eastAsia="Times New Roman" w:hAnsi="Microsoft Sans Serif" w:cs="Microsoft Sans Serif"/>
                <w:b w:val="0"/>
                <w:color w:val="auto"/>
                <w:sz w:val="20"/>
                <w:szCs w:val="20"/>
                <w:lang w:val="en-CA" w:eastAsia="en-CA"/>
              </w:rPr>
            </w:pPr>
            <w:r>
              <w:rPr>
                <w:rFonts w:ascii="Microsoft Sans Serif" w:eastAsia="Times New Roman" w:hAnsi="Microsoft Sans Serif" w:cs="Microsoft Sans Serif"/>
                <w:b w:val="0"/>
                <w:color w:val="auto"/>
                <w:sz w:val="20"/>
                <w:szCs w:val="20"/>
                <w:lang w:val="en-CA" w:eastAsia="en-CA"/>
              </w:rPr>
              <w:t>Local Government</w:t>
            </w:r>
          </w:p>
        </w:tc>
        <w:tc>
          <w:tcPr>
            <w:tcW w:w="0" w:type="auto"/>
            <w:noWrap/>
            <w:vAlign w:val="center"/>
          </w:tcPr>
          <w:p w14:paraId="68312F32" w14:textId="77777777" w:rsidR="008B25A4" w:rsidRPr="00B54E08" w:rsidRDefault="008B25A4" w:rsidP="00B54E08">
            <w:pPr>
              <w:jc w:val="center"/>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color w:val="auto"/>
                <w:sz w:val="20"/>
                <w:szCs w:val="20"/>
                <w:lang w:val="en-CA" w:eastAsia="en-CA"/>
              </w:rPr>
            </w:pPr>
            <w:r>
              <w:rPr>
                <w:rFonts w:ascii="Microsoft Sans Serif" w:eastAsia="Times New Roman" w:hAnsi="Microsoft Sans Serif" w:cs="Microsoft Sans Serif"/>
                <w:color w:val="auto"/>
                <w:sz w:val="20"/>
                <w:szCs w:val="20"/>
                <w:lang w:val="en-CA" w:eastAsia="en-CA"/>
              </w:rPr>
              <w:t>11.</w:t>
            </w:r>
            <w:r w:rsidRPr="00B54E08">
              <w:rPr>
                <w:rFonts w:ascii="Microsoft Sans Serif" w:eastAsia="Times New Roman" w:hAnsi="Microsoft Sans Serif" w:cs="Microsoft Sans Serif"/>
                <w:color w:val="auto"/>
                <w:sz w:val="20"/>
                <w:szCs w:val="20"/>
                <w:lang w:val="en-CA" w:eastAsia="en-CA"/>
              </w:rPr>
              <w:t>9</w:t>
            </w:r>
            <w:r>
              <w:rPr>
                <w:rFonts w:ascii="Microsoft Sans Serif" w:eastAsia="Times New Roman" w:hAnsi="Microsoft Sans Serif" w:cs="Microsoft Sans Serif"/>
                <w:color w:val="auto"/>
                <w:sz w:val="20"/>
                <w:szCs w:val="20"/>
                <w:lang w:val="en-CA" w:eastAsia="en-CA"/>
              </w:rPr>
              <w:t>%</w:t>
            </w:r>
          </w:p>
        </w:tc>
      </w:tr>
      <w:tr w:rsidR="008B25A4" w:rsidRPr="00B54E08" w14:paraId="61A97710" w14:textId="77777777">
        <w:trPr>
          <w:trHeight w:val="41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6C91A4D" w14:textId="77777777" w:rsidR="008B25A4" w:rsidRPr="008B25A4" w:rsidRDefault="008B25A4" w:rsidP="006267CE">
            <w:pPr>
              <w:rPr>
                <w:rFonts w:ascii="Microsoft Sans Serif" w:eastAsia="Times New Roman" w:hAnsi="Microsoft Sans Serif" w:cs="Microsoft Sans Serif"/>
                <w:b w:val="0"/>
                <w:color w:val="auto"/>
                <w:sz w:val="20"/>
                <w:szCs w:val="20"/>
                <w:lang w:val="en-CA" w:eastAsia="en-CA"/>
              </w:rPr>
            </w:pPr>
            <w:r w:rsidRPr="008B25A4">
              <w:rPr>
                <w:rFonts w:ascii="Microsoft Sans Serif" w:eastAsia="Times New Roman" w:hAnsi="Microsoft Sans Serif" w:cs="Microsoft Sans Serif"/>
                <w:b w:val="0"/>
                <w:color w:val="auto"/>
                <w:sz w:val="20"/>
                <w:szCs w:val="20"/>
                <w:lang w:val="en-CA" w:eastAsia="en-CA"/>
              </w:rPr>
              <w:t>Non-Departmental Bodies</w:t>
            </w:r>
          </w:p>
        </w:tc>
        <w:tc>
          <w:tcPr>
            <w:tcW w:w="0" w:type="auto"/>
            <w:noWrap/>
            <w:vAlign w:val="center"/>
          </w:tcPr>
          <w:p w14:paraId="0C02C76E" w14:textId="77777777" w:rsidR="008B25A4" w:rsidRPr="008B25A4" w:rsidRDefault="008B25A4" w:rsidP="00B54E08">
            <w:pPr>
              <w:jc w:val="center"/>
              <w:cnfStyle w:val="000000000000" w:firstRow="0" w:lastRow="0" w:firstColumn="0" w:lastColumn="0" w:oddVBand="0" w:evenVBand="0" w:oddHBand="0" w:evenHBand="0" w:firstRowFirstColumn="0" w:firstRowLastColumn="0" w:lastRowFirstColumn="0" w:lastRowLastColumn="0"/>
              <w:rPr>
                <w:rFonts w:ascii="Microsoft Sans Serif" w:eastAsia="Times New Roman" w:hAnsi="Microsoft Sans Serif" w:cs="Microsoft Sans Serif"/>
                <w:color w:val="auto"/>
                <w:sz w:val="20"/>
                <w:szCs w:val="20"/>
                <w:lang w:val="en-CA" w:eastAsia="en-CA"/>
              </w:rPr>
            </w:pPr>
            <w:r>
              <w:rPr>
                <w:rFonts w:ascii="Microsoft Sans Serif" w:eastAsia="Times New Roman" w:hAnsi="Microsoft Sans Serif" w:cs="Microsoft Sans Serif"/>
                <w:color w:val="auto"/>
                <w:sz w:val="20"/>
                <w:szCs w:val="20"/>
                <w:lang w:val="en-CA" w:eastAsia="en-CA"/>
              </w:rPr>
              <w:t>5.1%</w:t>
            </w:r>
          </w:p>
        </w:tc>
      </w:tr>
      <w:tr w:rsidR="008B25A4" w:rsidRPr="00B54E08" w14:paraId="3C0A06AA" w14:textId="7777777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0" w:type="auto"/>
            <w:vAlign w:val="center"/>
          </w:tcPr>
          <w:p w14:paraId="3D49922E" w14:textId="77777777" w:rsidR="008B25A4" w:rsidRPr="008B25A4" w:rsidRDefault="008B25A4" w:rsidP="006267CE">
            <w:pPr>
              <w:rPr>
                <w:rFonts w:ascii="Microsoft Sans Serif" w:eastAsia="Times New Roman" w:hAnsi="Microsoft Sans Serif" w:cs="Microsoft Sans Serif"/>
                <w:b w:val="0"/>
                <w:color w:val="auto"/>
                <w:sz w:val="20"/>
                <w:szCs w:val="20"/>
                <w:lang w:val="en-CA" w:eastAsia="en-CA"/>
              </w:rPr>
            </w:pPr>
            <w:r w:rsidRPr="008B25A4">
              <w:rPr>
                <w:rFonts w:ascii="Microsoft Sans Serif" w:eastAsia="Times New Roman" w:hAnsi="Microsoft Sans Serif" w:cs="Microsoft Sans Serif"/>
                <w:b w:val="0"/>
                <w:color w:val="auto"/>
                <w:sz w:val="20"/>
                <w:szCs w:val="20"/>
                <w:lang w:val="en-CA" w:eastAsia="en-CA"/>
              </w:rPr>
              <w:t>Crown Corporation</w:t>
            </w:r>
          </w:p>
        </w:tc>
        <w:tc>
          <w:tcPr>
            <w:tcW w:w="0" w:type="auto"/>
            <w:noWrap/>
            <w:vAlign w:val="center"/>
          </w:tcPr>
          <w:p w14:paraId="4A79C1BB" w14:textId="77777777" w:rsidR="008B25A4" w:rsidRPr="008B25A4" w:rsidRDefault="008B25A4" w:rsidP="00B54E08">
            <w:pPr>
              <w:jc w:val="center"/>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color w:val="auto"/>
                <w:sz w:val="20"/>
                <w:szCs w:val="20"/>
                <w:lang w:val="en-CA" w:eastAsia="en-CA"/>
              </w:rPr>
            </w:pPr>
            <w:r>
              <w:rPr>
                <w:rFonts w:ascii="Microsoft Sans Serif" w:eastAsia="Times New Roman" w:hAnsi="Microsoft Sans Serif" w:cs="Microsoft Sans Serif"/>
                <w:color w:val="auto"/>
                <w:sz w:val="20"/>
                <w:szCs w:val="20"/>
                <w:lang w:val="en-CA" w:eastAsia="en-CA"/>
              </w:rPr>
              <w:t>2.5%</w:t>
            </w:r>
          </w:p>
        </w:tc>
      </w:tr>
    </w:tbl>
    <w:p w14:paraId="67AE7887" w14:textId="77777777" w:rsidR="002B51EE" w:rsidRDefault="002B51EE" w:rsidP="00327849">
      <w:pPr>
        <w:spacing w:line="360" w:lineRule="auto"/>
      </w:pPr>
    </w:p>
    <w:p w14:paraId="2B52CBE7" w14:textId="77777777" w:rsidR="002B51EE" w:rsidRDefault="008B25A4" w:rsidP="00327849">
      <w:pPr>
        <w:spacing w:line="360" w:lineRule="auto"/>
      </w:pPr>
      <w:r>
        <w:t>Among this group</w:t>
      </w:r>
      <w:r w:rsidR="00C07DE6">
        <w:t>, 58.3% of respondents spent five years or less in government</w:t>
      </w:r>
      <w:r>
        <w:t xml:space="preserve"> </w:t>
      </w:r>
      <w:r w:rsidR="00C07DE6">
        <w:t xml:space="preserve">employment but 29.2% were there for over ten years. In terms of their positions, almost 24% reached the level of Director General or higher. While the two groups present some differences (for example in the gender/age make ups), both seem to represent </w:t>
      </w:r>
      <w:r w:rsidR="00E77C95">
        <w:t>senior cadres who are professionally familiar with policy activity. We also think that the two groups are functionally interested in cooperating, but it is likely that what are considered as ‘appropriate’ or ‘sustainable’ engagement levels (i.e., the frequency and intensity of the engagement) will be perceived as different by different groups.</w:t>
      </w:r>
    </w:p>
    <w:p w14:paraId="2265363C" w14:textId="77777777" w:rsidR="002B51EE" w:rsidRDefault="002B51EE" w:rsidP="00327849">
      <w:pPr>
        <w:spacing w:line="360" w:lineRule="auto"/>
      </w:pPr>
    </w:p>
    <w:p w14:paraId="1FDE630E" w14:textId="77777777" w:rsidR="00DB2BC3" w:rsidRDefault="00DB2BC3" w:rsidP="00327849">
      <w:pPr>
        <w:spacing w:line="360" w:lineRule="auto"/>
      </w:pPr>
    </w:p>
    <w:p w14:paraId="318ADFF6" w14:textId="77777777" w:rsidR="00E03A05" w:rsidRDefault="00DB2BC3" w:rsidP="00327849">
      <w:pPr>
        <w:spacing w:line="360" w:lineRule="auto"/>
      </w:pPr>
      <w:r>
        <w:rPr>
          <w:b/>
        </w:rPr>
        <w:t xml:space="preserve">The Presence of </w:t>
      </w:r>
      <w:r w:rsidR="00323203" w:rsidRPr="00323203">
        <w:rPr>
          <w:b/>
        </w:rPr>
        <w:t>Research</w:t>
      </w:r>
      <w:r>
        <w:rPr>
          <w:b/>
        </w:rPr>
        <w:t xml:space="preserve"> in Evidence-Based Policy-making </w:t>
      </w:r>
      <w:r w:rsidR="00C0030E">
        <w:rPr>
          <w:b/>
        </w:rPr>
        <w:t>in Canada</w:t>
      </w:r>
    </w:p>
    <w:p w14:paraId="37BEABF8" w14:textId="77777777" w:rsidR="00DB2BC3" w:rsidRDefault="00DB2BC3" w:rsidP="00327849">
      <w:pPr>
        <w:spacing w:line="360" w:lineRule="auto"/>
      </w:pPr>
    </w:p>
    <w:p w14:paraId="28D82D80" w14:textId="77777777" w:rsidR="0066295F" w:rsidRDefault="00E03A05" w:rsidP="00327849">
      <w:pPr>
        <w:spacing w:line="360" w:lineRule="auto"/>
      </w:pPr>
      <w:r>
        <w:t xml:space="preserve">In this section we present first the results from the global sample of the senior executive survey, followed by the responses of Canadian senior executives and finally the </w:t>
      </w:r>
      <w:r w:rsidR="00264E40">
        <w:t xml:space="preserve">results from our survey of academics. </w:t>
      </w:r>
      <w:r>
        <w:t xml:space="preserve"> </w:t>
      </w:r>
      <w:r w:rsidR="007338ED">
        <w:t>The global sample contains the equally weighed results of the four countries in which the survey was administered (Australia, Canada, New Zealand, and the United Arab Emirates).</w:t>
      </w:r>
    </w:p>
    <w:p w14:paraId="08564A44" w14:textId="77777777" w:rsidR="001A5F34" w:rsidRDefault="001A5F34" w:rsidP="00327849">
      <w:pPr>
        <w:spacing w:line="360" w:lineRule="auto"/>
      </w:pPr>
    </w:p>
    <w:p w14:paraId="716BC01B" w14:textId="77777777" w:rsidR="001A5F34" w:rsidRDefault="001A5F34" w:rsidP="00327849">
      <w:pPr>
        <w:spacing w:line="360" w:lineRule="auto"/>
      </w:pPr>
    </w:p>
    <w:p w14:paraId="4DB5CEDC" w14:textId="77777777" w:rsidR="001A5F34" w:rsidRDefault="009703B1" w:rsidP="00327849">
      <w:pPr>
        <w:spacing w:line="360" w:lineRule="auto"/>
      </w:pPr>
      <w:r w:rsidRPr="009703B1">
        <w:rPr>
          <w:i/>
        </w:rPr>
        <w:lastRenderedPageBreak/>
        <w:t xml:space="preserve">Figure </w:t>
      </w:r>
      <w:r w:rsidR="00727BB3">
        <w:rPr>
          <w:i/>
        </w:rPr>
        <w:t>7</w:t>
      </w:r>
      <w:r>
        <w:rPr>
          <w:i/>
        </w:rPr>
        <w:t>. Type of Engagement with the Academic World – Global Sample</w:t>
      </w:r>
      <w:r w:rsidRPr="009703B1">
        <w:rPr>
          <w:noProof/>
          <w:lang w:val="fr-FR" w:eastAsia="fr-FR"/>
        </w:rPr>
        <w:drawing>
          <wp:inline distT="0" distB="0" distL="0" distR="0" wp14:anchorId="32265761" wp14:editId="03F2EA00">
            <wp:extent cx="6019800" cy="4724400"/>
            <wp:effectExtent l="0" t="0" r="0" b="0"/>
            <wp:docPr id="4" name="P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272" cy="4724770"/>
                    </a:xfrm>
                    <a:prstGeom prst="rect">
                      <a:avLst/>
                    </a:prstGeom>
                    <a:noFill/>
                    <a:ln>
                      <a:noFill/>
                    </a:ln>
                    <a:extLst/>
                  </pic:spPr>
                </pic:pic>
              </a:graphicData>
            </a:graphic>
          </wp:inline>
        </w:drawing>
      </w:r>
    </w:p>
    <w:p w14:paraId="52CD9BEC" w14:textId="77777777" w:rsidR="00523EEE" w:rsidRDefault="00523EEE" w:rsidP="00327849">
      <w:pPr>
        <w:spacing w:line="360" w:lineRule="auto"/>
        <w:rPr>
          <w:i/>
          <w:sz w:val="20"/>
        </w:rPr>
      </w:pPr>
      <w:r>
        <w:rPr>
          <w:i/>
          <w:sz w:val="20"/>
        </w:rPr>
        <w:t>Source: Question 9 – Public Ser</w:t>
      </w:r>
      <w:r w:rsidR="00902643">
        <w:rPr>
          <w:i/>
          <w:sz w:val="20"/>
        </w:rPr>
        <w:t>vice</w:t>
      </w:r>
      <w:r>
        <w:rPr>
          <w:i/>
          <w:sz w:val="20"/>
        </w:rPr>
        <w:t xml:space="preserve"> Executive Survey</w:t>
      </w:r>
    </w:p>
    <w:p w14:paraId="34E389F2" w14:textId="77777777" w:rsidR="001A5F34" w:rsidRPr="009703B1" w:rsidRDefault="00523EEE" w:rsidP="00327849">
      <w:pPr>
        <w:spacing w:line="360" w:lineRule="auto"/>
        <w:rPr>
          <w:i/>
          <w:sz w:val="20"/>
        </w:rPr>
      </w:pPr>
      <w:r>
        <w:rPr>
          <w:i/>
          <w:sz w:val="20"/>
        </w:rPr>
        <w:t xml:space="preserve"> </w:t>
      </w:r>
      <w:r w:rsidR="009703B1" w:rsidRPr="009703B1">
        <w:rPr>
          <w:i/>
          <w:sz w:val="20"/>
        </w:rPr>
        <w:t xml:space="preserve"> </w:t>
      </w:r>
    </w:p>
    <w:p w14:paraId="182FE142" w14:textId="77777777" w:rsidR="00311F39" w:rsidRDefault="00311F39" w:rsidP="00327849">
      <w:pPr>
        <w:spacing w:line="360" w:lineRule="auto"/>
      </w:pPr>
      <w:r>
        <w:t>R</w:t>
      </w:r>
      <w:r w:rsidR="009703B1" w:rsidRPr="009703B1">
        <w:t xml:space="preserve">espondents are most likely to use of </w:t>
      </w:r>
      <w:r w:rsidR="00130D0A">
        <w:t xml:space="preserve">published </w:t>
      </w:r>
      <w:r w:rsidR="009703B1" w:rsidRPr="009703B1">
        <w:t xml:space="preserve">academic research </w:t>
      </w:r>
      <w:r w:rsidR="00130D0A">
        <w:t xml:space="preserve">(papers, journal articles, and the like). It was reported by </w:t>
      </w:r>
      <w:r w:rsidR="009703B1" w:rsidRPr="00130D0A">
        <w:rPr>
          <w:bCs/>
        </w:rPr>
        <w:t xml:space="preserve">78% </w:t>
      </w:r>
      <w:r w:rsidR="009703B1" w:rsidRPr="00130D0A">
        <w:t xml:space="preserve">of respondents </w:t>
      </w:r>
      <w:r w:rsidR="00130D0A">
        <w:t xml:space="preserve">that they </w:t>
      </w:r>
      <w:r w:rsidR="009703B1" w:rsidRPr="00130D0A">
        <w:t>utilize academic</w:t>
      </w:r>
      <w:r w:rsidR="00B63616">
        <w:t xml:space="preserve"> research at least “occasionally</w:t>
      </w:r>
      <w:r w:rsidR="006E1358">
        <w:t>.”</w:t>
      </w:r>
      <w:r w:rsidR="00B63616">
        <w:t xml:space="preserve"> Wh</w:t>
      </w:r>
      <w:r w:rsidR="00B63616" w:rsidRPr="009703B1">
        <w:t>ile most respondents have, at one time</w:t>
      </w:r>
      <w:r w:rsidR="00B63616">
        <w:t xml:space="preserve"> or another</w:t>
      </w:r>
      <w:r w:rsidR="00B63616" w:rsidRPr="009703B1">
        <w:t xml:space="preserve">, engaged with the academic community, ongoing collaborative relationships </w:t>
      </w:r>
      <w:r w:rsidR="00B63616">
        <w:t xml:space="preserve">are </w:t>
      </w:r>
      <w:r w:rsidR="003C3B2A">
        <w:rPr>
          <w:bCs/>
        </w:rPr>
        <w:t>not exceedingly common</w:t>
      </w:r>
      <w:r w:rsidR="00B63616">
        <w:t xml:space="preserve">. </w:t>
      </w:r>
      <w:r w:rsidR="009703B1" w:rsidRPr="009703B1">
        <w:t xml:space="preserve">Only </w:t>
      </w:r>
      <w:r w:rsidR="009703B1" w:rsidRPr="00B63616">
        <w:rPr>
          <w:bCs/>
        </w:rPr>
        <w:t>27%</w:t>
      </w:r>
      <w:r w:rsidR="009703B1" w:rsidRPr="009703B1">
        <w:rPr>
          <w:b/>
          <w:bCs/>
        </w:rPr>
        <w:t xml:space="preserve"> </w:t>
      </w:r>
      <w:r w:rsidR="00B63616">
        <w:t>“</w:t>
      </w:r>
      <w:r w:rsidR="009703B1" w:rsidRPr="009703B1">
        <w:t>often</w:t>
      </w:r>
      <w:r w:rsidR="00B63616">
        <w:t>”</w:t>
      </w:r>
      <w:r w:rsidR="009703B1" w:rsidRPr="009703B1">
        <w:t xml:space="preserve"> seek advice from academic institutions</w:t>
      </w:r>
      <w:r w:rsidR="00B63616">
        <w:t xml:space="preserve"> and o</w:t>
      </w:r>
      <w:r w:rsidR="009703B1" w:rsidRPr="009703B1">
        <w:t xml:space="preserve">nly </w:t>
      </w:r>
      <w:r w:rsidR="009703B1" w:rsidRPr="00B63616">
        <w:rPr>
          <w:bCs/>
        </w:rPr>
        <w:t>26%</w:t>
      </w:r>
      <w:r w:rsidR="009703B1" w:rsidRPr="009703B1">
        <w:rPr>
          <w:b/>
          <w:bCs/>
        </w:rPr>
        <w:t xml:space="preserve"> </w:t>
      </w:r>
      <w:r w:rsidR="00B63616">
        <w:t>“</w:t>
      </w:r>
      <w:r w:rsidR="009703B1" w:rsidRPr="009703B1">
        <w:t>often</w:t>
      </w:r>
      <w:r w:rsidR="00B63616">
        <w:t>”</w:t>
      </w:r>
      <w:r w:rsidR="009703B1" w:rsidRPr="009703B1">
        <w:t xml:space="preserve"> participate in a network with members of research institutions</w:t>
      </w:r>
      <w:r w:rsidR="00B63616">
        <w:t xml:space="preserve">. </w:t>
      </w:r>
      <w:r w:rsidR="00DF2E04">
        <w:t xml:space="preserve"> </w:t>
      </w:r>
      <w:r>
        <w:t xml:space="preserve">These results are not totally unexpected. High frequencies of interaction (more than twice per month) tend to be restricted to the use of academic literature and informal management: training engagements and inviting academics to serve on boards and panels are also relatively common for this group. </w:t>
      </w:r>
      <w:r>
        <w:lastRenderedPageBreak/>
        <w:t>However, very few cases are extant of governments commissioning research on policy from academics.</w:t>
      </w:r>
    </w:p>
    <w:p w14:paraId="7FE15A5E" w14:textId="77777777" w:rsidR="00DB2BC3" w:rsidRDefault="00DB2BC3" w:rsidP="00327849">
      <w:pPr>
        <w:spacing w:line="360" w:lineRule="auto"/>
      </w:pPr>
    </w:p>
    <w:p w14:paraId="0354CD9A" w14:textId="77777777" w:rsidR="00DF2E04" w:rsidRDefault="00311F39" w:rsidP="00327849">
      <w:pPr>
        <w:spacing w:line="360" w:lineRule="auto"/>
        <w:sectPr w:rsidR="00DF2E04">
          <w:footerReference w:type="even" r:id="rId9"/>
          <w:footerReference w:type="default" r:id="rId10"/>
          <w:pgSz w:w="12240" w:h="15840"/>
          <w:pgMar w:top="1440" w:right="1800" w:bottom="1440" w:left="1800" w:header="708" w:footer="708" w:gutter="0"/>
          <w:cols w:space="708"/>
        </w:sectPr>
      </w:pPr>
      <w:r>
        <w:t>We asked the same questions of Canadian public executives and as we can see below the set of answers was very similar.</w:t>
      </w:r>
    </w:p>
    <w:p w14:paraId="67602D63" w14:textId="77777777" w:rsidR="009703B1" w:rsidRDefault="00934EC6" w:rsidP="00327849">
      <w:pPr>
        <w:spacing w:line="360" w:lineRule="auto"/>
      </w:pPr>
      <w:r w:rsidRPr="009703B1">
        <w:rPr>
          <w:i/>
        </w:rPr>
        <w:lastRenderedPageBreak/>
        <w:t xml:space="preserve">Figure </w:t>
      </w:r>
      <w:r w:rsidR="00311F39">
        <w:rPr>
          <w:i/>
        </w:rPr>
        <w:t>2</w:t>
      </w:r>
      <w:r>
        <w:rPr>
          <w:i/>
        </w:rPr>
        <w:t>. Type of Engagement with the Academic World – Canadian Sample</w:t>
      </w:r>
      <w:r w:rsidR="00987F7E">
        <w:rPr>
          <w:i/>
        </w:rPr>
        <w:t xml:space="preserve"> (Public S</w:t>
      </w:r>
      <w:r w:rsidR="00902643">
        <w:rPr>
          <w:i/>
        </w:rPr>
        <w:t>ervice</w:t>
      </w:r>
      <w:r w:rsidR="00987F7E">
        <w:rPr>
          <w:i/>
        </w:rPr>
        <w:t xml:space="preserve"> Executive)</w:t>
      </w:r>
    </w:p>
    <w:p w14:paraId="6FBA21C1" w14:textId="77777777" w:rsidR="009703B1" w:rsidRDefault="004E6F6B" w:rsidP="00327849">
      <w:pPr>
        <w:spacing w:line="360" w:lineRule="auto"/>
      </w:pPr>
      <w:r w:rsidRPr="004E6F6B">
        <w:rPr>
          <w:noProof/>
          <w:lang w:val="fr-FR" w:eastAsia="fr-FR"/>
        </w:rPr>
        <w:drawing>
          <wp:inline distT="0" distB="0" distL="0" distR="0" wp14:anchorId="1907B999" wp14:editId="5867F3E1">
            <wp:extent cx="7518400" cy="4510828"/>
            <wp:effectExtent l="0" t="0" r="6350" b="4445"/>
            <wp:docPr id="5" name="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2ADE472" w14:textId="77777777" w:rsidR="00523EEE" w:rsidRPr="00523EEE" w:rsidRDefault="00523EEE" w:rsidP="00327849">
      <w:pPr>
        <w:spacing w:line="360" w:lineRule="auto"/>
        <w:rPr>
          <w:i/>
          <w:sz w:val="20"/>
        </w:rPr>
      </w:pPr>
      <w:r>
        <w:rPr>
          <w:i/>
          <w:sz w:val="20"/>
        </w:rPr>
        <w:t>Source: Question 9 – Public Ser</w:t>
      </w:r>
      <w:r w:rsidR="00902643">
        <w:rPr>
          <w:i/>
          <w:sz w:val="20"/>
        </w:rPr>
        <w:t>vice</w:t>
      </w:r>
      <w:r>
        <w:rPr>
          <w:i/>
          <w:sz w:val="20"/>
        </w:rPr>
        <w:t xml:space="preserve"> Executive Survey</w:t>
      </w:r>
    </w:p>
    <w:p w14:paraId="7421C2A7" w14:textId="77777777" w:rsidR="004E6F6B" w:rsidRDefault="004E6F6B" w:rsidP="00327849">
      <w:pPr>
        <w:spacing w:line="360" w:lineRule="auto"/>
        <w:sectPr w:rsidR="004E6F6B">
          <w:pgSz w:w="15842" w:h="12242" w:orient="landscape"/>
          <w:pgMar w:top="1797" w:right="1440" w:bottom="1797" w:left="1440" w:header="709" w:footer="709" w:gutter="0"/>
          <w:cols w:space="708"/>
        </w:sectPr>
      </w:pPr>
    </w:p>
    <w:p w14:paraId="4E356752" w14:textId="77777777" w:rsidR="005D6746" w:rsidRDefault="00311F39" w:rsidP="005D6746">
      <w:pPr>
        <w:spacing w:line="360" w:lineRule="auto"/>
      </w:pPr>
      <w:r>
        <w:lastRenderedPageBreak/>
        <w:t>Tables 5 &amp; 6</w:t>
      </w:r>
      <w:r w:rsidR="00DB2BC3">
        <w:t xml:space="preserve"> </w:t>
      </w:r>
      <w:r w:rsidR="00CD48F2">
        <w:t>below</w:t>
      </w:r>
      <w:r w:rsidR="005D6746">
        <w:t xml:space="preserve"> </w:t>
      </w:r>
      <w:r w:rsidR="00E42621">
        <w:t>examine the response</w:t>
      </w:r>
      <w:r w:rsidR="00470249">
        <w:t>s</w:t>
      </w:r>
      <w:r w:rsidR="00E42621">
        <w:t xml:space="preserve"> from </w:t>
      </w:r>
      <w:r w:rsidR="00197698">
        <w:t>public se</w:t>
      </w:r>
      <w:r w:rsidR="00902643">
        <w:t>rvice</w:t>
      </w:r>
      <w:r w:rsidR="00197698">
        <w:t xml:space="preserve"> executives and academic</w:t>
      </w:r>
      <w:r>
        <w:t>s</w:t>
      </w:r>
      <w:r w:rsidR="00197698">
        <w:t xml:space="preserve"> on the engagement that exists </w:t>
      </w:r>
      <w:r w:rsidR="008F5F62">
        <w:t>between</w:t>
      </w:r>
      <w:r w:rsidR="00197698">
        <w:t xml:space="preserve"> the two</w:t>
      </w:r>
      <w:r w:rsidR="00DB1A7F">
        <w:t xml:space="preserve"> communities</w:t>
      </w:r>
      <w:r w:rsidR="008F5F62">
        <w:t xml:space="preserve">. We immediately note that there is a broad discrepancy in the ‘Never’ category, with often more </w:t>
      </w:r>
      <w:r w:rsidR="00D14259">
        <w:t>than</w:t>
      </w:r>
      <w:r w:rsidR="008F5F62">
        <w:t xml:space="preserve"> 30 percentage points of difference. Part of the reason is embedded in the fact that academic respondents for this survey represent only a subset of all academics (political science, public policy and public administration). However, these responses still indicate that </w:t>
      </w:r>
      <w:r w:rsidR="00A80CAC">
        <w:t>many</w:t>
      </w:r>
      <w:r w:rsidR="008F5F62">
        <w:t xml:space="preserve"> </w:t>
      </w:r>
      <w:r w:rsidR="00A80CAC">
        <w:t>academics</w:t>
      </w:r>
      <w:r w:rsidR="008F5F62">
        <w:t xml:space="preserve"> </w:t>
      </w:r>
      <w:r w:rsidR="00A80CAC">
        <w:t>have</w:t>
      </w:r>
      <w:r w:rsidR="008F5F62">
        <w:t xml:space="preserve"> </w:t>
      </w:r>
      <w:r w:rsidR="005D6746">
        <w:t xml:space="preserve">relatively </w:t>
      </w:r>
      <w:r w:rsidR="00987F7E">
        <w:t>infrequent engagement</w:t>
      </w:r>
      <w:r w:rsidR="008F5F62">
        <w:t xml:space="preserve"> with the public service.</w:t>
      </w:r>
      <w:r w:rsidR="005D6746" w:rsidRPr="005D6746">
        <w:t xml:space="preserve"> </w:t>
      </w:r>
    </w:p>
    <w:p w14:paraId="71C988EE" w14:textId="77777777" w:rsidR="00DB2BC3" w:rsidRDefault="00DB2BC3" w:rsidP="005D6746">
      <w:pPr>
        <w:spacing w:line="360" w:lineRule="auto"/>
      </w:pPr>
    </w:p>
    <w:p w14:paraId="5B9711FD" w14:textId="77777777" w:rsidR="005D6746" w:rsidRDefault="00A80CAC" w:rsidP="005D6746">
      <w:pPr>
        <w:spacing w:line="360" w:lineRule="auto"/>
      </w:pPr>
      <w:r>
        <w:t xml:space="preserve">However, </w:t>
      </w:r>
      <w:r w:rsidR="00987F7E">
        <w:t xml:space="preserve">frequencies of engagement can be considered relatively high for some of the areas of engagement. For example, it is unlikely that an agency or department would often second personnel to an academic unit </w:t>
      </w:r>
      <w:r w:rsidR="005D6746">
        <w:t>considering the complexity of the arrangement</w:t>
      </w:r>
      <w:r>
        <w:t>, so numbers on that area should not be considered damning</w:t>
      </w:r>
      <w:r w:rsidR="005D6746">
        <w:t xml:space="preserve">. Academics are relatively unlikely to sit on boards, panels or committees, nor do they attend many workshops or training sessions with public servants. It is also uncommon for them to receive requests for the production of research reports from public service officials.  </w:t>
      </w:r>
      <w:r w:rsidR="00231296">
        <w:t xml:space="preserve">The most common activities for these groups are of an informal kind: participating in networks and offering/being requested informal advice. </w:t>
      </w:r>
    </w:p>
    <w:p w14:paraId="4D99F6BE" w14:textId="77777777" w:rsidR="00917300" w:rsidRPr="008F5F62" w:rsidRDefault="00917300" w:rsidP="00327849">
      <w:pPr>
        <w:spacing w:line="360" w:lineRule="auto"/>
      </w:pPr>
    </w:p>
    <w:p w14:paraId="269BBD14" w14:textId="77777777" w:rsidR="00D94173" w:rsidRDefault="00D94173" w:rsidP="00DB755E">
      <w:pPr>
        <w:spacing w:line="360" w:lineRule="auto"/>
      </w:pPr>
    </w:p>
    <w:p w14:paraId="3FB16AE1" w14:textId="77777777" w:rsidR="00817F23" w:rsidRDefault="00817F23" w:rsidP="00817F23">
      <w:pPr>
        <w:tabs>
          <w:tab w:val="center" w:pos="4320"/>
        </w:tabs>
        <w:spacing w:line="360" w:lineRule="auto"/>
        <w:rPr>
          <w:i/>
        </w:rPr>
        <w:sectPr w:rsidR="00817F23">
          <w:pgSz w:w="12240" w:h="15840"/>
          <w:pgMar w:top="1440" w:right="1800" w:bottom="1440" w:left="1800" w:header="708" w:footer="708" w:gutter="0"/>
          <w:cols w:space="708"/>
        </w:sectPr>
      </w:pPr>
    </w:p>
    <w:p w14:paraId="145DFF93" w14:textId="77777777" w:rsidR="00817F23" w:rsidRPr="00135364" w:rsidRDefault="00817F23" w:rsidP="00817F23">
      <w:pPr>
        <w:tabs>
          <w:tab w:val="center" w:pos="4320"/>
        </w:tabs>
        <w:spacing w:line="360" w:lineRule="auto"/>
        <w:rPr>
          <w:i/>
        </w:rPr>
      </w:pPr>
      <w:r w:rsidRPr="00135364">
        <w:rPr>
          <w:i/>
        </w:rPr>
        <w:lastRenderedPageBreak/>
        <w:t xml:space="preserve">Table </w:t>
      </w:r>
      <w:r w:rsidR="001C5BC4">
        <w:rPr>
          <w:i/>
        </w:rPr>
        <w:t>5</w:t>
      </w:r>
      <w:r w:rsidRPr="00135364">
        <w:rPr>
          <w:i/>
        </w:rPr>
        <w:t xml:space="preserve">. </w:t>
      </w:r>
      <w:r>
        <w:rPr>
          <w:i/>
        </w:rPr>
        <w:t>Research Engagement – Canadian Academics</w:t>
      </w:r>
    </w:p>
    <w:tbl>
      <w:tblPr>
        <w:tblStyle w:val="Tableausimple1"/>
        <w:tblW w:w="5000" w:type="pct"/>
        <w:tblLook w:val="04A0" w:firstRow="1" w:lastRow="0" w:firstColumn="1" w:lastColumn="0" w:noHBand="0" w:noVBand="1"/>
      </w:tblPr>
      <w:tblGrid>
        <w:gridCol w:w="4464"/>
        <w:gridCol w:w="1457"/>
        <w:gridCol w:w="1702"/>
        <w:gridCol w:w="1700"/>
        <w:gridCol w:w="1808"/>
        <w:gridCol w:w="2045"/>
      </w:tblGrid>
      <w:tr w:rsidR="00817F23" w:rsidRPr="00135364" w14:paraId="75D9AD47" w14:textId="77777777">
        <w:trPr>
          <w:cnfStyle w:val="100000000000" w:firstRow="1" w:lastRow="0" w:firstColumn="0" w:lastColumn="0" w:oddVBand="0" w:evenVBand="0" w:oddHBand="0" w:evenHBand="0" w:firstRowFirstColumn="0" w:firstRowLastColumn="0" w:lastRowFirstColumn="0" w:lastRowLastColumn="0"/>
          <w:trHeight w:val="672"/>
        </w:trPr>
        <w:tc>
          <w:tcPr>
            <w:tcW w:w="1694" w:type="pct"/>
            <w:noWrap/>
          </w:tcPr>
          <w:p w14:paraId="752268F7" w14:textId="77777777" w:rsidR="00817F23" w:rsidRPr="00135364" w:rsidRDefault="00817F23" w:rsidP="00817F23">
            <w:pPr>
              <w:rPr>
                <w:rFonts w:ascii="Microsoft Sans Serif" w:eastAsia="Times New Roman" w:hAnsi="Microsoft Sans Serif" w:cs="Microsoft Sans Serif"/>
                <w:b/>
                <w:bCs/>
                <w:i/>
                <w:iCs/>
                <w:sz w:val="20"/>
                <w:szCs w:val="20"/>
                <w:lang w:val="en-CA" w:eastAsia="en-CA"/>
              </w:rPr>
            </w:pPr>
          </w:p>
        </w:tc>
        <w:tc>
          <w:tcPr>
            <w:tcW w:w="553" w:type="pct"/>
          </w:tcPr>
          <w:p w14:paraId="4421BF45" w14:textId="77777777" w:rsidR="00817F23" w:rsidRPr="00135364" w:rsidRDefault="00817F23" w:rsidP="00817F23">
            <w:pPr>
              <w:jc w:val="center"/>
              <w:rPr>
                <w:rFonts w:ascii="Microsoft Sans Serif" w:eastAsia="Times New Roman" w:hAnsi="Microsoft Sans Serif" w:cs="Microsoft Sans Serif"/>
                <w:b/>
                <w:bCs/>
                <w:sz w:val="20"/>
                <w:szCs w:val="20"/>
                <w:lang w:val="en-CA" w:eastAsia="en-CA"/>
              </w:rPr>
            </w:pPr>
            <w:r w:rsidRPr="00135364">
              <w:rPr>
                <w:rFonts w:ascii="Microsoft Sans Serif" w:eastAsia="Times New Roman" w:hAnsi="Microsoft Sans Serif" w:cs="Microsoft Sans Serif"/>
                <w:b/>
                <w:bCs/>
                <w:sz w:val="20"/>
                <w:szCs w:val="20"/>
                <w:lang w:val="en-CA" w:eastAsia="en-CA"/>
              </w:rPr>
              <w:t xml:space="preserve">Never </w:t>
            </w:r>
          </w:p>
        </w:tc>
        <w:tc>
          <w:tcPr>
            <w:tcW w:w="646" w:type="pct"/>
          </w:tcPr>
          <w:p w14:paraId="5DB39780" w14:textId="77777777" w:rsidR="00817F23" w:rsidRDefault="00817F23" w:rsidP="00817F23">
            <w:pPr>
              <w:jc w:val="center"/>
              <w:rPr>
                <w:rFonts w:ascii="Microsoft Sans Serif" w:eastAsia="Times New Roman" w:hAnsi="Microsoft Sans Serif" w:cs="Microsoft Sans Serif"/>
                <w:b/>
                <w:bCs/>
                <w:sz w:val="20"/>
                <w:szCs w:val="20"/>
                <w:lang w:val="en-CA" w:eastAsia="en-CA"/>
              </w:rPr>
            </w:pPr>
            <w:r w:rsidRPr="00135364">
              <w:rPr>
                <w:rFonts w:ascii="Microsoft Sans Serif" w:eastAsia="Times New Roman" w:hAnsi="Microsoft Sans Serif" w:cs="Microsoft Sans Serif"/>
                <w:b/>
                <w:bCs/>
                <w:sz w:val="20"/>
                <w:szCs w:val="20"/>
                <w:lang w:val="en-CA" w:eastAsia="en-CA"/>
              </w:rPr>
              <w:t xml:space="preserve">Seldom </w:t>
            </w:r>
          </w:p>
          <w:p w14:paraId="4DC7F6BF" w14:textId="77777777" w:rsidR="00817F23" w:rsidRPr="00135364" w:rsidRDefault="00817F23" w:rsidP="00817F23">
            <w:pPr>
              <w:jc w:val="center"/>
              <w:rPr>
                <w:rFonts w:ascii="Microsoft Sans Serif" w:eastAsia="Times New Roman" w:hAnsi="Microsoft Sans Serif" w:cs="Microsoft Sans Serif"/>
                <w:b/>
                <w:bCs/>
                <w:sz w:val="20"/>
                <w:szCs w:val="20"/>
                <w:lang w:val="en-CA" w:eastAsia="en-CA"/>
              </w:rPr>
            </w:pPr>
            <w:r w:rsidRPr="00FC6255">
              <w:rPr>
                <w:rFonts w:ascii="Microsoft Sans Serif" w:eastAsia="Times New Roman" w:hAnsi="Microsoft Sans Serif" w:cs="Microsoft Sans Serif"/>
                <w:b/>
                <w:bCs/>
                <w:sz w:val="16"/>
                <w:szCs w:val="16"/>
                <w:lang w:val="en-CA" w:eastAsia="en-CA"/>
              </w:rPr>
              <w:t>(not more than twice per year)</w:t>
            </w:r>
          </w:p>
        </w:tc>
        <w:tc>
          <w:tcPr>
            <w:tcW w:w="645" w:type="pct"/>
          </w:tcPr>
          <w:p w14:paraId="0B51D0C9" w14:textId="77777777" w:rsidR="00817F23" w:rsidRDefault="00817F23" w:rsidP="00817F23">
            <w:pPr>
              <w:jc w:val="center"/>
              <w:rPr>
                <w:rFonts w:ascii="Microsoft Sans Serif" w:eastAsia="Times New Roman" w:hAnsi="Microsoft Sans Serif" w:cs="Microsoft Sans Serif"/>
                <w:b/>
                <w:bCs/>
                <w:sz w:val="20"/>
                <w:szCs w:val="20"/>
                <w:lang w:val="en-CA" w:eastAsia="en-CA"/>
              </w:rPr>
            </w:pPr>
            <w:r w:rsidRPr="00135364">
              <w:rPr>
                <w:rFonts w:ascii="Microsoft Sans Serif" w:eastAsia="Times New Roman" w:hAnsi="Microsoft Sans Serif" w:cs="Microsoft Sans Serif"/>
                <w:b/>
                <w:bCs/>
                <w:sz w:val="20"/>
                <w:szCs w:val="20"/>
                <w:lang w:val="en-CA" w:eastAsia="en-CA"/>
              </w:rPr>
              <w:t xml:space="preserve">Occasionally </w:t>
            </w:r>
          </w:p>
          <w:p w14:paraId="5CC368DD" w14:textId="77777777" w:rsidR="00817F23" w:rsidRPr="00135364" w:rsidRDefault="00817F23" w:rsidP="00817F23">
            <w:pPr>
              <w:jc w:val="center"/>
              <w:rPr>
                <w:rFonts w:ascii="Microsoft Sans Serif" w:eastAsia="Times New Roman" w:hAnsi="Microsoft Sans Serif" w:cs="Microsoft Sans Serif"/>
                <w:b/>
                <w:bCs/>
                <w:sz w:val="20"/>
                <w:szCs w:val="20"/>
                <w:lang w:val="en-CA" w:eastAsia="en-CA"/>
              </w:rPr>
            </w:pPr>
            <w:r w:rsidRPr="00FC6255">
              <w:rPr>
                <w:rFonts w:ascii="Microsoft Sans Serif" w:eastAsia="Times New Roman" w:hAnsi="Microsoft Sans Serif" w:cs="Microsoft Sans Serif"/>
                <w:b/>
                <w:bCs/>
                <w:sz w:val="16"/>
                <w:szCs w:val="16"/>
                <w:lang w:val="en-CA" w:eastAsia="en-CA"/>
              </w:rPr>
              <w:t>(at least every three months)</w:t>
            </w:r>
          </w:p>
        </w:tc>
        <w:tc>
          <w:tcPr>
            <w:tcW w:w="686" w:type="pct"/>
          </w:tcPr>
          <w:p w14:paraId="4F9AC8D1" w14:textId="77777777" w:rsidR="00817F23" w:rsidRDefault="00817F23" w:rsidP="00817F23">
            <w:pPr>
              <w:jc w:val="center"/>
              <w:rPr>
                <w:rFonts w:ascii="Microsoft Sans Serif" w:eastAsia="Times New Roman" w:hAnsi="Microsoft Sans Serif" w:cs="Microsoft Sans Serif"/>
                <w:b/>
                <w:bCs/>
                <w:sz w:val="20"/>
                <w:szCs w:val="20"/>
                <w:lang w:val="en-CA" w:eastAsia="en-CA"/>
              </w:rPr>
            </w:pPr>
            <w:r w:rsidRPr="00135364">
              <w:rPr>
                <w:rFonts w:ascii="Microsoft Sans Serif" w:eastAsia="Times New Roman" w:hAnsi="Microsoft Sans Serif" w:cs="Microsoft Sans Serif"/>
                <w:b/>
                <w:bCs/>
                <w:sz w:val="20"/>
                <w:szCs w:val="20"/>
                <w:lang w:val="en-CA" w:eastAsia="en-CA"/>
              </w:rPr>
              <w:t xml:space="preserve">Often </w:t>
            </w:r>
          </w:p>
          <w:p w14:paraId="0016CE4D" w14:textId="77777777" w:rsidR="00817F23" w:rsidRPr="00135364" w:rsidRDefault="00817F23" w:rsidP="00817F23">
            <w:pPr>
              <w:jc w:val="center"/>
              <w:rPr>
                <w:rFonts w:ascii="Microsoft Sans Serif" w:eastAsia="Times New Roman" w:hAnsi="Microsoft Sans Serif" w:cs="Microsoft Sans Serif"/>
                <w:b/>
                <w:bCs/>
                <w:sz w:val="20"/>
                <w:szCs w:val="20"/>
                <w:lang w:val="en-CA" w:eastAsia="en-CA"/>
              </w:rPr>
            </w:pPr>
            <w:r w:rsidRPr="00FC6255">
              <w:rPr>
                <w:rFonts w:ascii="Microsoft Sans Serif" w:eastAsia="Times New Roman" w:hAnsi="Microsoft Sans Serif" w:cs="Microsoft Sans Serif"/>
                <w:b/>
                <w:bCs/>
                <w:sz w:val="16"/>
                <w:szCs w:val="16"/>
                <w:lang w:val="en-CA" w:eastAsia="en-CA"/>
              </w:rPr>
              <w:t>(at least every month)</w:t>
            </w:r>
          </w:p>
        </w:tc>
        <w:tc>
          <w:tcPr>
            <w:tcW w:w="776" w:type="pct"/>
          </w:tcPr>
          <w:p w14:paraId="05F50152" w14:textId="77777777" w:rsidR="00817F23" w:rsidRDefault="00817F23" w:rsidP="00817F23">
            <w:pPr>
              <w:jc w:val="center"/>
              <w:rPr>
                <w:rFonts w:ascii="Microsoft Sans Serif" w:eastAsia="Times New Roman" w:hAnsi="Microsoft Sans Serif" w:cs="Microsoft Sans Serif"/>
                <w:b/>
                <w:bCs/>
                <w:sz w:val="20"/>
                <w:szCs w:val="20"/>
                <w:lang w:val="en-CA" w:eastAsia="en-CA"/>
              </w:rPr>
            </w:pPr>
            <w:r w:rsidRPr="00135364">
              <w:rPr>
                <w:rFonts w:ascii="Microsoft Sans Serif" w:eastAsia="Times New Roman" w:hAnsi="Microsoft Sans Serif" w:cs="Microsoft Sans Serif"/>
                <w:b/>
                <w:bCs/>
                <w:sz w:val="20"/>
                <w:szCs w:val="20"/>
                <w:lang w:val="en-CA" w:eastAsia="en-CA"/>
              </w:rPr>
              <w:t xml:space="preserve">Very Often </w:t>
            </w:r>
          </w:p>
          <w:p w14:paraId="234053C0" w14:textId="77777777" w:rsidR="00817F23" w:rsidRPr="00135364" w:rsidRDefault="00817F23" w:rsidP="00817F23">
            <w:pPr>
              <w:jc w:val="center"/>
              <w:rPr>
                <w:rFonts w:ascii="Microsoft Sans Serif" w:eastAsia="Times New Roman" w:hAnsi="Microsoft Sans Serif" w:cs="Microsoft Sans Serif"/>
                <w:b/>
                <w:bCs/>
                <w:sz w:val="20"/>
                <w:szCs w:val="20"/>
                <w:lang w:val="en-CA" w:eastAsia="en-CA"/>
              </w:rPr>
            </w:pPr>
            <w:r w:rsidRPr="00FC6255">
              <w:rPr>
                <w:rFonts w:ascii="Microsoft Sans Serif" w:eastAsia="Times New Roman" w:hAnsi="Microsoft Sans Serif" w:cs="Microsoft Sans Serif"/>
                <w:b/>
                <w:bCs/>
                <w:sz w:val="16"/>
                <w:szCs w:val="16"/>
                <w:lang w:val="en-CA" w:eastAsia="en-CA"/>
              </w:rPr>
              <w:t>(more than twice per month)</w:t>
            </w:r>
          </w:p>
        </w:tc>
      </w:tr>
      <w:tr w:rsidR="00817F23" w:rsidRPr="00135364" w14:paraId="3548BEE2" w14:textId="77777777">
        <w:trPr>
          <w:trHeight w:val="765"/>
        </w:trPr>
        <w:tc>
          <w:tcPr>
            <w:tcW w:w="1694" w:type="pct"/>
            <w:tcBorders>
              <w:top w:val="single" w:sz="6" w:space="0" w:color="008000"/>
              <w:bottom w:val="single" w:sz="4" w:space="0" w:color="auto"/>
            </w:tcBorders>
          </w:tcPr>
          <w:p w14:paraId="3AD98430" w14:textId="77777777" w:rsidR="00817F23" w:rsidRPr="00135364" w:rsidRDefault="00817F23" w:rsidP="00817F23">
            <w:pP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Receive an invitation from members of the public service to serve on boards, panels, or committees</w:t>
            </w:r>
          </w:p>
        </w:tc>
        <w:tc>
          <w:tcPr>
            <w:tcW w:w="553" w:type="pct"/>
            <w:tcBorders>
              <w:top w:val="single" w:sz="6" w:space="0" w:color="008000"/>
              <w:bottom w:val="single" w:sz="4" w:space="0" w:color="auto"/>
            </w:tcBorders>
            <w:noWrap/>
            <w:vAlign w:val="center"/>
          </w:tcPr>
          <w:p w14:paraId="45B107F8" w14:textId="77777777" w:rsidR="00817F23" w:rsidRPr="00135364" w:rsidRDefault="00817F23" w:rsidP="00817F23">
            <w:pPr>
              <w:jc w:val="cente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57.6%</w:t>
            </w:r>
          </w:p>
        </w:tc>
        <w:tc>
          <w:tcPr>
            <w:tcW w:w="646" w:type="pct"/>
            <w:tcBorders>
              <w:top w:val="single" w:sz="6" w:space="0" w:color="008000"/>
              <w:bottom w:val="single" w:sz="4" w:space="0" w:color="auto"/>
            </w:tcBorders>
            <w:noWrap/>
            <w:vAlign w:val="center"/>
          </w:tcPr>
          <w:p w14:paraId="338B8977" w14:textId="77777777" w:rsidR="00817F23" w:rsidRPr="00135364" w:rsidRDefault="00817F23" w:rsidP="00817F23">
            <w:pPr>
              <w:jc w:val="cente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27.6%</w:t>
            </w:r>
          </w:p>
        </w:tc>
        <w:tc>
          <w:tcPr>
            <w:tcW w:w="645" w:type="pct"/>
            <w:tcBorders>
              <w:top w:val="single" w:sz="6" w:space="0" w:color="008000"/>
              <w:bottom w:val="single" w:sz="4" w:space="0" w:color="auto"/>
            </w:tcBorders>
            <w:noWrap/>
            <w:vAlign w:val="center"/>
          </w:tcPr>
          <w:p w14:paraId="0B2561F1" w14:textId="77777777" w:rsidR="00817F23" w:rsidRPr="00135364" w:rsidRDefault="00817F23" w:rsidP="00817F23">
            <w:pPr>
              <w:jc w:val="cente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10.8%</w:t>
            </w:r>
          </w:p>
        </w:tc>
        <w:tc>
          <w:tcPr>
            <w:tcW w:w="686" w:type="pct"/>
            <w:tcBorders>
              <w:top w:val="single" w:sz="6" w:space="0" w:color="008000"/>
              <w:bottom w:val="single" w:sz="4" w:space="0" w:color="auto"/>
            </w:tcBorders>
            <w:noWrap/>
            <w:vAlign w:val="center"/>
          </w:tcPr>
          <w:p w14:paraId="342B0782" w14:textId="77777777" w:rsidR="00817F23" w:rsidRPr="00135364" w:rsidRDefault="00817F23" w:rsidP="00817F23">
            <w:pPr>
              <w:jc w:val="cente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2.9%</w:t>
            </w:r>
          </w:p>
        </w:tc>
        <w:tc>
          <w:tcPr>
            <w:tcW w:w="776" w:type="pct"/>
            <w:tcBorders>
              <w:top w:val="single" w:sz="6" w:space="0" w:color="008000"/>
              <w:bottom w:val="single" w:sz="4" w:space="0" w:color="auto"/>
            </w:tcBorders>
            <w:noWrap/>
            <w:vAlign w:val="center"/>
          </w:tcPr>
          <w:p w14:paraId="71CBDF77" w14:textId="77777777" w:rsidR="00817F23" w:rsidRPr="00135364" w:rsidRDefault="00817F23" w:rsidP="00817F23">
            <w:pPr>
              <w:jc w:val="cente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1.2%</w:t>
            </w:r>
          </w:p>
        </w:tc>
      </w:tr>
      <w:tr w:rsidR="00817F23" w:rsidRPr="00135364" w14:paraId="2C7C590B" w14:textId="77777777">
        <w:trPr>
          <w:trHeight w:val="765"/>
        </w:trPr>
        <w:tc>
          <w:tcPr>
            <w:tcW w:w="1694" w:type="pct"/>
            <w:tcBorders>
              <w:top w:val="single" w:sz="4" w:space="0" w:color="auto"/>
              <w:bottom w:val="single" w:sz="4" w:space="0" w:color="auto"/>
            </w:tcBorders>
          </w:tcPr>
          <w:p w14:paraId="42CFB83F" w14:textId="77777777" w:rsidR="00817F23" w:rsidRPr="00135364" w:rsidRDefault="00817F23" w:rsidP="00817F23">
            <w:pP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Participate in meetings that discussed academic research with members of the public service</w:t>
            </w:r>
          </w:p>
        </w:tc>
        <w:tc>
          <w:tcPr>
            <w:tcW w:w="553" w:type="pct"/>
            <w:tcBorders>
              <w:top w:val="single" w:sz="4" w:space="0" w:color="auto"/>
              <w:bottom w:val="single" w:sz="4" w:space="0" w:color="auto"/>
            </w:tcBorders>
            <w:noWrap/>
            <w:vAlign w:val="center"/>
          </w:tcPr>
          <w:p w14:paraId="35DC220D" w14:textId="77777777" w:rsidR="00817F23" w:rsidRPr="00135364" w:rsidRDefault="00817F23" w:rsidP="00817F23">
            <w:pPr>
              <w:jc w:val="cente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40.2%</w:t>
            </w:r>
          </w:p>
        </w:tc>
        <w:tc>
          <w:tcPr>
            <w:tcW w:w="646" w:type="pct"/>
            <w:tcBorders>
              <w:top w:val="single" w:sz="4" w:space="0" w:color="auto"/>
              <w:bottom w:val="single" w:sz="4" w:space="0" w:color="auto"/>
            </w:tcBorders>
            <w:noWrap/>
            <w:vAlign w:val="center"/>
          </w:tcPr>
          <w:p w14:paraId="59132C68" w14:textId="77777777" w:rsidR="00817F23" w:rsidRPr="00135364" w:rsidRDefault="00817F23" w:rsidP="00817F23">
            <w:pPr>
              <w:jc w:val="cente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38.4%</w:t>
            </w:r>
          </w:p>
        </w:tc>
        <w:tc>
          <w:tcPr>
            <w:tcW w:w="645" w:type="pct"/>
            <w:tcBorders>
              <w:top w:val="single" w:sz="4" w:space="0" w:color="auto"/>
              <w:bottom w:val="single" w:sz="4" w:space="0" w:color="auto"/>
            </w:tcBorders>
            <w:noWrap/>
            <w:vAlign w:val="center"/>
          </w:tcPr>
          <w:p w14:paraId="4F9B69E5" w14:textId="77777777" w:rsidR="00817F23" w:rsidRPr="00135364" w:rsidRDefault="00817F23" w:rsidP="00817F23">
            <w:pPr>
              <w:jc w:val="cente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14.5%</w:t>
            </w:r>
          </w:p>
        </w:tc>
        <w:tc>
          <w:tcPr>
            <w:tcW w:w="686" w:type="pct"/>
            <w:tcBorders>
              <w:top w:val="single" w:sz="4" w:space="0" w:color="auto"/>
              <w:bottom w:val="single" w:sz="4" w:space="0" w:color="auto"/>
            </w:tcBorders>
            <w:noWrap/>
            <w:vAlign w:val="center"/>
          </w:tcPr>
          <w:p w14:paraId="183A6769" w14:textId="77777777" w:rsidR="00817F23" w:rsidRPr="00135364" w:rsidRDefault="00817F23" w:rsidP="00817F23">
            <w:pPr>
              <w:jc w:val="cente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4.3%</w:t>
            </w:r>
          </w:p>
        </w:tc>
        <w:tc>
          <w:tcPr>
            <w:tcW w:w="776" w:type="pct"/>
            <w:tcBorders>
              <w:top w:val="single" w:sz="4" w:space="0" w:color="auto"/>
              <w:bottom w:val="single" w:sz="4" w:space="0" w:color="auto"/>
            </w:tcBorders>
            <w:noWrap/>
            <w:vAlign w:val="center"/>
          </w:tcPr>
          <w:p w14:paraId="139DEC3B" w14:textId="77777777" w:rsidR="00817F23" w:rsidRPr="00135364" w:rsidRDefault="00817F23" w:rsidP="00817F23">
            <w:pPr>
              <w:jc w:val="cente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2.6%</w:t>
            </w:r>
          </w:p>
        </w:tc>
      </w:tr>
      <w:tr w:rsidR="00817F23" w:rsidRPr="00135364" w14:paraId="14555CEA" w14:textId="77777777">
        <w:trPr>
          <w:trHeight w:val="510"/>
        </w:trPr>
        <w:tc>
          <w:tcPr>
            <w:tcW w:w="1694" w:type="pct"/>
            <w:tcBorders>
              <w:top w:val="single" w:sz="4" w:space="0" w:color="auto"/>
              <w:bottom w:val="single" w:sz="4" w:space="0" w:color="auto"/>
            </w:tcBorders>
          </w:tcPr>
          <w:p w14:paraId="3970CB05" w14:textId="77777777" w:rsidR="00817F23" w:rsidRPr="00135364" w:rsidRDefault="00817F23" w:rsidP="00817F23">
            <w:pP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Attend workshop/training session with members of the public service</w:t>
            </w:r>
          </w:p>
        </w:tc>
        <w:tc>
          <w:tcPr>
            <w:tcW w:w="553" w:type="pct"/>
            <w:tcBorders>
              <w:top w:val="single" w:sz="4" w:space="0" w:color="auto"/>
              <w:bottom w:val="single" w:sz="4" w:space="0" w:color="auto"/>
            </w:tcBorders>
            <w:noWrap/>
            <w:vAlign w:val="center"/>
          </w:tcPr>
          <w:p w14:paraId="3729585B" w14:textId="77777777" w:rsidR="00817F23" w:rsidRPr="00135364" w:rsidRDefault="00817F23" w:rsidP="00817F23">
            <w:pPr>
              <w:jc w:val="cente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52.2%</w:t>
            </w:r>
          </w:p>
        </w:tc>
        <w:tc>
          <w:tcPr>
            <w:tcW w:w="646" w:type="pct"/>
            <w:tcBorders>
              <w:top w:val="single" w:sz="4" w:space="0" w:color="auto"/>
              <w:bottom w:val="single" w:sz="4" w:space="0" w:color="auto"/>
            </w:tcBorders>
            <w:noWrap/>
            <w:vAlign w:val="center"/>
          </w:tcPr>
          <w:p w14:paraId="482F7738" w14:textId="77777777" w:rsidR="00817F23" w:rsidRPr="00135364" w:rsidRDefault="00817F23" w:rsidP="00817F23">
            <w:pPr>
              <w:jc w:val="cente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31.8%</w:t>
            </w:r>
          </w:p>
        </w:tc>
        <w:tc>
          <w:tcPr>
            <w:tcW w:w="645" w:type="pct"/>
            <w:tcBorders>
              <w:top w:val="single" w:sz="4" w:space="0" w:color="auto"/>
              <w:bottom w:val="single" w:sz="4" w:space="0" w:color="auto"/>
            </w:tcBorders>
            <w:noWrap/>
            <w:vAlign w:val="center"/>
          </w:tcPr>
          <w:p w14:paraId="5FFD8937" w14:textId="77777777" w:rsidR="00817F23" w:rsidRPr="00135364" w:rsidRDefault="00817F23" w:rsidP="00817F23">
            <w:pPr>
              <w:jc w:val="cente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13.4%</w:t>
            </w:r>
          </w:p>
        </w:tc>
        <w:tc>
          <w:tcPr>
            <w:tcW w:w="686" w:type="pct"/>
            <w:tcBorders>
              <w:top w:val="single" w:sz="4" w:space="0" w:color="auto"/>
              <w:bottom w:val="single" w:sz="4" w:space="0" w:color="auto"/>
            </w:tcBorders>
            <w:noWrap/>
            <w:vAlign w:val="center"/>
          </w:tcPr>
          <w:p w14:paraId="1C85F613" w14:textId="77777777" w:rsidR="00817F23" w:rsidRPr="00135364" w:rsidRDefault="00817F23" w:rsidP="00817F23">
            <w:pPr>
              <w:jc w:val="cente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1.7%</w:t>
            </w:r>
          </w:p>
        </w:tc>
        <w:tc>
          <w:tcPr>
            <w:tcW w:w="776" w:type="pct"/>
            <w:tcBorders>
              <w:top w:val="single" w:sz="4" w:space="0" w:color="auto"/>
              <w:bottom w:val="single" w:sz="4" w:space="0" w:color="auto"/>
            </w:tcBorders>
            <w:noWrap/>
            <w:vAlign w:val="center"/>
          </w:tcPr>
          <w:p w14:paraId="5A3DEA60" w14:textId="77777777" w:rsidR="00817F23" w:rsidRPr="00135364" w:rsidRDefault="00817F23" w:rsidP="00817F23">
            <w:pPr>
              <w:jc w:val="cente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0.9%</w:t>
            </w:r>
          </w:p>
        </w:tc>
      </w:tr>
      <w:tr w:rsidR="00817F23" w:rsidRPr="00135364" w14:paraId="2776036E" w14:textId="77777777">
        <w:trPr>
          <w:trHeight w:val="765"/>
        </w:trPr>
        <w:tc>
          <w:tcPr>
            <w:tcW w:w="1694" w:type="pct"/>
            <w:tcBorders>
              <w:top w:val="single" w:sz="4" w:space="0" w:color="auto"/>
              <w:bottom w:val="single" w:sz="4" w:space="0" w:color="auto"/>
            </w:tcBorders>
          </w:tcPr>
          <w:p w14:paraId="29DA3009" w14:textId="77777777" w:rsidR="00817F23" w:rsidRPr="00135364" w:rsidRDefault="00817F23" w:rsidP="00817F23">
            <w:pP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Receive a request for research or research reports from members of the public service</w:t>
            </w:r>
          </w:p>
        </w:tc>
        <w:tc>
          <w:tcPr>
            <w:tcW w:w="553" w:type="pct"/>
            <w:tcBorders>
              <w:top w:val="single" w:sz="4" w:space="0" w:color="auto"/>
              <w:bottom w:val="single" w:sz="4" w:space="0" w:color="auto"/>
            </w:tcBorders>
            <w:noWrap/>
            <w:vAlign w:val="center"/>
          </w:tcPr>
          <w:p w14:paraId="3271977F" w14:textId="77777777" w:rsidR="00817F23" w:rsidRPr="00135364" w:rsidRDefault="00817F23" w:rsidP="00817F23">
            <w:pPr>
              <w:jc w:val="cente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51.2%</w:t>
            </w:r>
          </w:p>
        </w:tc>
        <w:tc>
          <w:tcPr>
            <w:tcW w:w="646" w:type="pct"/>
            <w:tcBorders>
              <w:top w:val="single" w:sz="4" w:space="0" w:color="auto"/>
              <w:bottom w:val="single" w:sz="4" w:space="0" w:color="auto"/>
            </w:tcBorders>
            <w:noWrap/>
            <w:vAlign w:val="center"/>
          </w:tcPr>
          <w:p w14:paraId="4ACDAEE4" w14:textId="77777777" w:rsidR="00817F23" w:rsidRPr="00135364" w:rsidRDefault="00817F23" w:rsidP="00817F23">
            <w:pPr>
              <w:jc w:val="cente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31.4%</w:t>
            </w:r>
          </w:p>
        </w:tc>
        <w:tc>
          <w:tcPr>
            <w:tcW w:w="645" w:type="pct"/>
            <w:tcBorders>
              <w:top w:val="single" w:sz="4" w:space="0" w:color="auto"/>
              <w:bottom w:val="single" w:sz="4" w:space="0" w:color="auto"/>
            </w:tcBorders>
            <w:noWrap/>
            <w:vAlign w:val="center"/>
          </w:tcPr>
          <w:p w14:paraId="4FBB2CCE" w14:textId="77777777" w:rsidR="00817F23" w:rsidRPr="00135364" w:rsidRDefault="00817F23" w:rsidP="00817F23">
            <w:pPr>
              <w:jc w:val="cente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14.8%</w:t>
            </w:r>
          </w:p>
        </w:tc>
        <w:tc>
          <w:tcPr>
            <w:tcW w:w="686" w:type="pct"/>
            <w:tcBorders>
              <w:top w:val="single" w:sz="4" w:space="0" w:color="auto"/>
              <w:bottom w:val="single" w:sz="4" w:space="0" w:color="auto"/>
            </w:tcBorders>
            <w:noWrap/>
            <w:vAlign w:val="center"/>
          </w:tcPr>
          <w:p w14:paraId="5AB2BBB8" w14:textId="77777777" w:rsidR="00817F23" w:rsidRPr="00135364" w:rsidRDefault="00817F23" w:rsidP="00817F23">
            <w:pPr>
              <w:jc w:val="cente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1.7%</w:t>
            </w:r>
          </w:p>
        </w:tc>
        <w:tc>
          <w:tcPr>
            <w:tcW w:w="776" w:type="pct"/>
            <w:tcBorders>
              <w:top w:val="single" w:sz="4" w:space="0" w:color="auto"/>
              <w:bottom w:val="single" w:sz="4" w:space="0" w:color="auto"/>
            </w:tcBorders>
            <w:noWrap/>
            <w:vAlign w:val="center"/>
          </w:tcPr>
          <w:p w14:paraId="15D8565E" w14:textId="77777777" w:rsidR="00817F23" w:rsidRPr="00135364" w:rsidRDefault="00817F23" w:rsidP="00817F23">
            <w:pPr>
              <w:jc w:val="cente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0.9%</w:t>
            </w:r>
          </w:p>
        </w:tc>
      </w:tr>
      <w:tr w:rsidR="00817F23" w:rsidRPr="00135364" w14:paraId="0E2C315C" w14:textId="77777777">
        <w:trPr>
          <w:trHeight w:val="510"/>
        </w:trPr>
        <w:tc>
          <w:tcPr>
            <w:tcW w:w="1694" w:type="pct"/>
            <w:tcBorders>
              <w:top w:val="single" w:sz="4" w:space="0" w:color="auto"/>
              <w:bottom w:val="single" w:sz="4" w:space="0" w:color="auto"/>
            </w:tcBorders>
          </w:tcPr>
          <w:p w14:paraId="756E5E09" w14:textId="77777777" w:rsidR="00817F23" w:rsidRPr="00135364" w:rsidRDefault="00817F23" w:rsidP="00817F23">
            <w:pP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Provide informal advice to members of the public service</w:t>
            </w:r>
          </w:p>
        </w:tc>
        <w:tc>
          <w:tcPr>
            <w:tcW w:w="553" w:type="pct"/>
            <w:tcBorders>
              <w:top w:val="single" w:sz="4" w:space="0" w:color="auto"/>
              <w:bottom w:val="single" w:sz="4" w:space="0" w:color="auto"/>
            </w:tcBorders>
            <w:noWrap/>
            <w:vAlign w:val="center"/>
          </w:tcPr>
          <w:p w14:paraId="261A7FA0" w14:textId="77777777" w:rsidR="00817F23" w:rsidRPr="00135364" w:rsidRDefault="00817F23" w:rsidP="00817F23">
            <w:pPr>
              <w:jc w:val="cente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38.8%</w:t>
            </w:r>
          </w:p>
        </w:tc>
        <w:tc>
          <w:tcPr>
            <w:tcW w:w="646" w:type="pct"/>
            <w:tcBorders>
              <w:top w:val="single" w:sz="4" w:space="0" w:color="auto"/>
              <w:bottom w:val="single" w:sz="4" w:space="0" w:color="auto"/>
            </w:tcBorders>
            <w:noWrap/>
            <w:vAlign w:val="center"/>
          </w:tcPr>
          <w:p w14:paraId="619ED672" w14:textId="77777777" w:rsidR="00817F23" w:rsidRPr="00135364" w:rsidRDefault="00817F23" w:rsidP="00817F23">
            <w:pPr>
              <w:jc w:val="cente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31.8%</w:t>
            </w:r>
          </w:p>
        </w:tc>
        <w:tc>
          <w:tcPr>
            <w:tcW w:w="645" w:type="pct"/>
            <w:tcBorders>
              <w:top w:val="single" w:sz="4" w:space="0" w:color="auto"/>
              <w:bottom w:val="single" w:sz="4" w:space="0" w:color="auto"/>
            </w:tcBorders>
            <w:noWrap/>
            <w:vAlign w:val="center"/>
          </w:tcPr>
          <w:p w14:paraId="2595AB88" w14:textId="77777777" w:rsidR="00817F23" w:rsidRPr="00135364" w:rsidRDefault="00817F23" w:rsidP="00817F23">
            <w:pPr>
              <w:jc w:val="cente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16.9%</w:t>
            </w:r>
          </w:p>
        </w:tc>
        <w:tc>
          <w:tcPr>
            <w:tcW w:w="686" w:type="pct"/>
            <w:tcBorders>
              <w:top w:val="single" w:sz="4" w:space="0" w:color="auto"/>
              <w:bottom w:val="single" w:sz="4" w:space="0" w:color="auto"/>
            </w:tcBorders>
            <w:noWrap/>
            <w:vAlign w:val="center"/>
          </w:tcPr>
          <w:p w14:paraId="79E24B42" w14:textId="77777777" w:rsidR="00817F23" w:rsidRPr="00135364" w:rsidRDefault="00817F23" w:rsidP="00817F23">
            <w:pPr>
              <w:jc w:val="cente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6.7%</w:t>
            </w:r>
          </w:p>
        </w:tc>
        <w:tc>
          <w:tcPr>
            <w:tcW w:w="776" w:type="pct"/>
            <w:tcBorders>
              <w:top w:val="single" w:sz="4" w:space="0" w:color="auto"/>
              <w:bottom w:val="single" w:sz="4" w:space="0" w:color="auto"/>
            </w:tcBorders>
            <w:noWrap/>
            <w:vAlign w:val="center"/>
          </w:tcPr>
          <w:p w14:paraId="796E0E6C" w14:textId="77777777" w:rsidR="00817F23" w:rsidRPr="00135364" w:rsidRDefault="00817F23" w:rsidP="00817F23">
            <w:pPr>
              <w:jc w:val="cente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5.8%</w:t>
            </w:r>
          </w:p>
        </w:tc>
      </w:tr>
      <w:tr w:rsidR="00817F23" w:rsidRPr="00135364" w14:paraId="3BAE083A" w14:textId="77777777">
        <w:trPr>
          <w:trHeight w:val="510"/>
        </w:trPr>
        <w:tc>
          <w:tcPr>
            <w:tcW w:w="1694" w:type="pct"/>
            <w:tcBorders>
              <w:top w:val="single" w:sz="4" w:space="0" w:color="auto"/>
              <w:bottom w:val="single" w:sz="4" w:space="0" w:color="auto"/>
            </w:tcBorders>
          </w:tcPr>
          <w:p w14:paraId="506E4E18" w14:textId="77777777" w:rsidR="00817F23" w:rsidRPr="00135364" w:rsidRDefault="00817F23" w:rsidP="00817F23">
            <w:pP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Participate in a network with members of the public service</w:t>
            </w:r>
          </w:p>
        </w:tc>
        <w:tc>
          <w:tcPr>
            <w:tcW w:w="553" w:type="pct"/>
            <w:tcBorders>
              <w:top w:val="single" w:sz="4" w:space="0" w:color="auto"/>
              <w:bottom w:val="single" w:sz="4" w:space="0" w:color="auto"/>
            </w:tcBorders>
            <w:noWrap/>
            <w:vAlign w:val="center"/>
          </w:tcPr>
          <w:p w14:paraId="32B6C6FC" w14:textId="77777777" w:rsidR="00817F23" w:rsidRPr="00135364" w:rsidRDefault="00817F23" w:rsidP="00817F23">
            <w:pPr>
              <w:jc w:val="cente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42.8%</w:t>
            </w:r>
          </w:p>
        </w:tc>
        <w:tc>
          <w:tcPr>
            <w:tcW w:w="646" w:type="pct"/>
            <w:tcBorders>
              <w:top w:val="single" w:sz="4" w:space="0" w:color="auto"/>
              <w:bottom w:val="single" w:sz="4" w:space="0" w:color="auto"/>
            </w:tcBorders>
            <w:noWrap/>
            <w:vAlign w:val="center"/>
          </w:tcPr>
          <w:p w14:paraId="28FC8A57" w14:textId="77777777" w:rsidR="00817F23" w:rsidRPr="00135364" w:rsidRDefault="00817F23" w:rsidP="00817F23">
            <w:pPr>
              <w:jc w:val="cente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29.9%</w:t>
            </w:r>
          </w:p>
        </w:tc>
        <w:tc>
          <w:tcPr>
            <w:tcW w:w="645" w:type="pct"/>
            <w:tcBorders>
              <w:top w:val="single" w:sz="4" w:space="0" w:color="auto"/>
              <w:bottom w:val="single" w:sz="4" w:space="0" w:color="auto"/>
            </w:tcBorders>
            <w:noWrap/>
            <w:vAlign w:val="center"/>
          </w:tcPr>
          <w:p w14:paraId="7B53E872" w14:textId="77777777" w:rsidR="00817F23" w:rsidRPr="00135364" w:rsidRDefault="00817F23" w:rsidP="00817F23">
            <w:pPr>
              <w:jc w:val="cente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15.0%</w:t>
            </w:r>
          </w:p>
        </w:tc>
        <w:tc>
          <w:tcPr>
            <w:tcW w:w="686" w:type="pct"/>
            <w:tcBorders>
              <w:top w:val="single" w:sz="4" w:space="0" w:color="auto"/>
              <w:bottom w:val="single" w:sz="4" w:space="0" w:color="auto"/>
            </w:tcBorders>
            <w:noWrap/>
            <w:vAlign w:val="center"/>
          </w:tcPr>
          <w:p w14:paraId="5D094A22" w14:textId="77777777" w:rsidR="00817F23" w:rsidRPr="00135364" w:rsidRDefault="00817F23" w:rsidP="00817F23">
            <w:pPr>
              <w:jc w:val="cente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7.6%</w:t>
            </w:r>
          </w:p>
        </w:tc>
        <w:tc>
          <w:tcPr>
            <w:tcW w:w="776" w:type="pct"/>
            <w:tcBorders>
              <w:top w:val="single" w:sz="4" w:space="0" w:color="auto"/>
              <w:bottom w:val="single" w:sz="4" w:space="0" w:color="auto"/>
            </w:tcBorders>
            <w:noWrap/>
            <w:vAlign w:val="center"/>
          </w:tcPr>
          <w:p w14:paraId="486DE9C5" w14:textId="77777777" w:rsidR="00817F23" w:rsidRPr="00135364" w:rsidRDefault="00817F23" w:rsidP="00817F23">
            <w:pPr>
              <w:jc w:val="cente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4.7%</w:t>
            </w:r>
          </w:p>
        </w:tc>
      </w:tr>
      <w:tr w:rsidR="00817F23" w:rsidRPr="00135364" w14:paraId="45FE6538" w14:textId="77777777">
        <w:trPr>
          <w:trHeight w:val="510"/>
        </w:trPr>
        <w:tc>
          <w:tcPr>
            <w:tcW w:w="1694" w:type="pct"/>
            <w:tcBorders>
              <w:top w:val="single" w:sz="4" w:space="0" w:color="auto"/>
              <w:bottom w:val="single" w:sz="4" w:space="0" w:color="auto"/>
            </w:tcBorders>
          </w:tcPr>
          <w:p w14:paraId="1E7E74DC" w14:textId="77777777" w:rsidR="00817F23" w:rsidRPr="00135364" w:rsidRDefault="00817F23" w:rsidP="00817F23">
            <w:pP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Sit on a panel, roundtable, etc. with members of the public service</w:t>
            </w:r>
          </w:p>
        </w:tc>
        <w:tc>
          <w:tcPr>
            <w:tcW w:w="553" w:type="pct"/>
            <w:tcBorders>
              <w:top w:val="single" w:sz="4" w:space="0" w:color="auto"/>
              <w:bottom w:val="single" w:sz="4" w:space="0" w:color="auto"/>
            </w:tcBorders>
            <w:noWrap/>
            <w:vAlign w:val="center"/>
          </w:tcPr>
          <w:p w14:paraId="7455E2F3" w14:textId="77777777" w:rsidR="00817F23" w:rsidRPr="00135364" w:rsidRDefault="00817F23" w:rsidP="00817F23">
            <w:pPr>
              <w:jc w:val="cente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43.7%</w:t>
            </w:r>
          </w:p>
        </w:tc>
        <w:tc>
          <w:tcPr>
            <w:tcW w:w="646" w:type="pct"/>
            <w:tcBorders>
              <w:top w:val="single" w:sz="4" w:space="0" w:color="auto"/>
              <w:bottom w:val="single" w:sz="4" w:space="0" w:color="auto"/>
            </w:tcBorders>
            <w:noWrap/>
            <w:vAlign w:val="center"/>
          </w:tcPr>
          <w:p w14:paraId="1DF08BFA" w14:textId="77777777" w:rsidR="00817F23" w:rsidRPr="00135364" w:rsidRDefault="00817F23" w:rsidP="00817F23">
            <w:pPr>
              <w:jc w:val="cente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38.5%</w:t>
            </w:r>
          </w:p>
        </w:tc>
        <w:tc>
          <w:tcPr>
            <w:tcW w:w="645" w:type="pct"/>
            <w:tcBorders>
              <w:top w:val="single" w:sz="4" w:space="0" w:color="auto"/>
              <w:bottom w:val="single" w:sz="4" w:space="0" w:color="auto"/>
            </w:tcBorders>
            <w:noWrap/>
            <w:vAlign w:val="center"/>
          </w:tcPr>
          <w:p w14:paraId="3036A780" w14:textId="77777777" w:rsidR="00817F23" w:rsidRPr="00135364" w:rsidRDefault="00817F23" w:rsidP="00817F23">
            <w:pPr>
              <w:jc w:val="cente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12.0%</w:t>
            </w:r>
          </w:p>
        </w:tc>
        <w:tc>
          <w:tcPr>
            <w:tcW w:w="686" w:type="pct"/>
            <w:tcBorders>
              <w:top w:val="single" w:sz="4" w:space="0" w:color="auto"/>
              <w:bottom w:val="single" w:sz="4" w:space="0" w:color="auto"/>
            </w:tcBorders>
            <w:noWrap/>
            <w:vAlign w:val="center"/>
          </w:tcPr>
          <w:p w14:paraId="3BC49D63" w14:textId="77777777" w:rsidR="00817F23" w:rsidRPr="00135364" w:rsidRDefault="00817F23" w:rsidP="00817F23">
            <w:pPr>
              <w:jc w:val="cente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4.7%</w:t>
            </w:r>
          </w:p>
        </w:tc>
        <w:tc>
          <w:tcPr>
            <w:tcW w:w="776" w:type="pct"/>
            <w:tcBorders>
              <w:top w:val="single" w:sz="4" w:space="0" w:color="auto"/>
              <w:bottom w:val="single" w:sz="4" w:space="0" w:color="auto"/>
            </w:tcBorders>
            <w:noWrap/>
            <w:vAlign w:val="center"/>
          </w:tcPr>
          <w:p w14:paraId="00D6A82D" w14:textId="77777777" w:rsidR="00817F23" w:rsidRPr="00135364" w:rsidRDefault="00817F23" w:rsidP="00817F23">
            <w:pPr>
              <w:jc w:val="cente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1.2%</w:t>
            </w:r>
          </w:p>
        </w:tc>
      </w:tr>
      <w:tr w:rsidR="00817F23" w:rsidRPr="00135364" w14:paraId="772F838B" w14:textId="77777777">
        <w:trPr>
          <w:trHeight w:val="765"/>
        </w:trPr>
        <w:tc>
          <w:tcPr>
            <w:tcW w:w="1694" w:type="pct"/>
            <w:tcBorders>
              <w:top w:val="single" w:sz="4" w:space="0" w:color="auto"/>
              <w:bottom w:val="single" w:sz="4" w:space="0" w:color="auto"/>
            </w:tcBorders>
          </w:tcPr>
          <w:p w14:paraId="4B7DE8E4" w14:textId="77777777" w:rsidR="00817F23" w:rsidRPr="00135364" w:rsidRDefault="00817F23" w:rsidP="00817F23">
            <w:pP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Second personnel to (or from) a government agency or administrative unit</w:t>
            </w:r>
          </w:p>
        </w:tc>
        <w:tc>
          <w:tcPr>
            <w:tcW w:w="553" w:type="pct"/>
            <w:tcBorders>
              <w:top w:val="single" w:sz="4" w:space="0" w:color="auto"/>
              <w:bottom w:val="single" w:sz="4" w:space="0" w:color="auto"/>
            </w:tcBorders>
            <w:noWrap/>
            <w:vAlign w:val="center"/>
          </w:tcPr>
          <w:p w14:paraId="385C4613" w14:textId="77777777" w:rsidR="00817F23" w:rsidRPr="00135364" w:rsidRDefault="00817F23" w:rsidP="00817F23">
            <w:pPr>
              <w:jc w:val="cente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88.8%</w:t>
            </w:r>
          </w:p>
        </w:tc>
        <w:tc>
          <w:tcPr>
            <w:tcW w:w="646" w:type="pct"/>
            <w:tcBorders>
              <w:top w:val="single" w:sz="4" w:space="0" w:color="auto"/>
              <w:bottom w:val="single" w:sz="4" w:space="0" w:color="auto"/>
            </w:tcBorders>
            <w:noWrap/>
            <w:vAlign w:val="center"/>
          </w:tcPr>
          <w:p w14:paraId="46F9192C" w14:textId="77777777" w:rsidR="00817F23" w:rsidRPr="00135364" w:rsidRDefault="00817F23" w:rsidP="00817F23">
            <w:pPr>
              <w:jc w:val="cente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8.2%</w:t>
            </w:r>
          </w:p>
        </w:tc>
        <w:tc>
          <w:tcPr>
            <w:tcW w:w="645" w:type="pct"/>
            <w:tcBorders>
              <w:top w:val="single" w:sz="4" w:space="0" w:color="auto"/>
              <w:bottom w:val="single" w:sz="4" w:space="0" w:color="auto"/>
            </w:tcBorders>
            <w:noWrap/>
            <w:vAlign w:val="center"/>
          </w:tcPr>
          <w:p w14:paraId="5D4797C1" w14:textId="77777777" w:rsidR="00817F23" w:rsidRPr="00135364" w:rsidRDefault="00817F23" w:rsidP="00817F23">
            <w:pPr>
              <w:jc w:val="cente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1.8%</w:t>
            </w:r>
          </w:p>
        </w:tc>
        <w:tc>
          <w:tcPr>
            <w:tcW w:w="686" w:type="pct"/>
            <w:tcBorders>
              <w:top w:val="single" w:sz="4" w:space="0" w:color="auto"/>
              <w:bottom w:val="single" w:sz="4" w:space="0" w:color="auto"/>
            </w:tcBorders>
            <w:noWrap/>
            <w:vAlign w:val="center"/>
          </w:tcPr>
          <w:p w14:paraId="1E95C119" w14:textId="77777777" w:rsidR="00817F23" w:rsidRPr="00135364" w:rsidRDefault="00817F23" w:rsidP="00817F23">
            <w:pPr>
              <w:jc w:val="cente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0.3%</w:t>
            </w:r>
          </w:p>
        </w:tc>
        <w:tc>
          <w:tcPr>
            <w:tcW w:w="776" w:type="pct"/>
            <w:tcBorders>
              <w:top w:val="single" w:sz="4" w:space="0" w:color="auto"/>
              <w:bottom w:val="single" w:sz="4" w:space="0" w:color="auto"/>
            </w:tcBorders>
            <w:noWrap/>
            <w:vAlign w:val="center"/>
          </w:tcPr>
          <w:p w14:paraId="721DAAD4" w14:textId="77777777" w:rsidR="00817F23" w:rsidRPr="00135364" w:rsidRDefault="00817F23" w:rsidP="00817F23">
            <w:pPr>
              <w:jc w:val="center"/>
              <w:rPr>
                <w:rFonts w:ascii="Microsoft Sans Serif" w:eastAsia="Times New Roman" w:hAnsi="Microsoft Sans Serif" w:cs="Microsoft Sans Serif"/>
                <w:sz w:val="20"/>
                <w:szCs w:val="20"/>
                <w:lang w:val="en-CA" w:eastAsia="en-CA"/>
              </w:rPr>
            </w:pPr>
            <w:r w:rsidRPr="00135364">
              <w:rPr>
                <w:rFonts w:ascii="Microsoft Sans Serif" w:eastAsia="Times New Roman" w:hAnsi="Microsoft Sans Serif" w:cs="Microsoft Sans Serif"/>
                <w:sz w:val="20"/>
                <w:szCs w:val="20"/>
                <w:lang w:val="en-CA" w:eastAsia="en-CA"/>
              </w:rPr>
              <w:t>0.9%</w:t>
            </w:r>
          </w:p>
        </w:tc>
      </w:tr>
    </w:tbl>
    <w:p w14:paraId="74D66780" w14:textId="77777777" w:rsidR="00817F23" w:rsidRPr="00135364" w:rsidRDefault="00817F23" w:rsidP="00817F23">
      <w:pPr>
        <w:spacing w:line="360" w:lineRule="auto"/>
      </w:pPr>
    </w:p>
    <w:p w14:paraId="604D8B04" w14:textId="77777777" w:rsidR="00817F23" w:rsidRPr="00135364" w:rsidRDefault="00817F23" w:rsidP="00817F23">
      <w:pPr>
        <w:spacing w:line="360" w:lineRule="auto"/>
      </w:pPr>
    </w:p>
    <w:p w14:paraId="19DAF97D" w14:textId="77777777" w:rsidR="00817F23" w:rsidRPr="00135364" w:rsidRDefault="00817F23" w:rsidP="00817F23">
      <w:pPr>
        <w:spacing w:line="360" w:lineRule="auto"/>
      </w:pPr>
    </w:p>
    <w:p w14:paraId="00A1EC82" w14:textId="77777777" w:rsidR="00817F23" w:rsidRPr="00135364" w:rsidRDefault="00817F23" w:rsidP="00817F23">
      <w:pPr>
        <w:spacing w:line="360" w:lineRule="auto"/>
      </w:pPr>
    </w:p>
    <w:p w14:paraId="5EFADE43" w14:textId="77777777" w:rsidR="00817F23" w:rsidRPr="00135364" w:rsidRDefault="00817F23" w:rsidP="00817F23">
      <w:pPr>
        <w:spacing w:line="360" w:lineRule="auto"/>
      </w:pPr>
    </w:p>
    <w:p w14:paraId="592DA288" w14:textId="77777777" w:rsidR="00817F23" w:rsidRPr="00135364" w:rsidRDefault="00817F23" w:rsidP="00817F23">
      <w:pPr>
        <w:tabs>
          <w:tab w:val="center" w:pos="4320"/>
        </w:tabs>
        <w:spacing w:line="360" w:lineRule="auto"/>
        <w:rPr>
          <w:i/>
        </w:rPr>
      </w:pPr>
      <w:r w:rsidRPr="00135364">
        <w:rPr>
          <w:i/>
        </w:rPr>
        <w:lastRenderedPageBreak/>
        <w:t xml:space="preserve">Table </w:t>
      </w:r>
      <w:r w:rsidR="001C5BC4">
        <w:rPr>
          <w:i/>
        </w:rPr>
        <w:t>6</w:t>
      </w:r>
      <w:r w:rsidRPr="00135364">
        <w:rPr>
          <w:i/>
        </w:rPr>
        <w:t xml:space="preserve">. </w:t>
      </w:r>
      <w:r>
        <w:rPr>
          <w:i/>
        </w:rPr>
        <w:t xml:space="preserve">Research Engagement – Canadian Public </w:t>
      </w:r>
      <w:r w:rsidR="00CA5836">
        <w:rPr>
          <w:i/>
        </w:rPr>
        <w:t>Se</w:t>
      </w:r>
      <w:r w:rsidR="00902643">
        <w:rPr>
          <w:i/>
        </w:rPr>
        <w:t>rvice</w:t>
      </w:r>
      <w:r w:rsidR="00CA5836">
        <w:rPr>
          <w:i/>
        </w:rPr>
        <w:t xml:space="preserve"> </w:t>
      </w:r>
      <w:r>
        <w:rPr>
          <w:i/>
        </w:rPr>
        <w:t>Executives</w:t>
      </w:r>
    </w:p>
    <w:tbl>
      <w:tblPr>
        <w:tblStyle w:val="Tableausimple1"/>
        <w:tblW w:w="5000" w:type="pct"/>
        <w:tblLook w:val="04A0" w:firstRow="1" w:lastRow="0" w:firstColumn="1" w:lastColumn="0" w:noHBand="0" w:noVBand="1"/>
      </w:tblPr>
      <w:tblGrid>
        <w:gridCol w:w="4462"/>
        <w:gridCol w:w="1673"/>
        <w:gridCol w:w="1673"/>
        <w:gridCol w:w="2016"/>
        <w:gridCol w:w="1513"/>
        <w:gridCol w:w="163"/>
        <w:gridCol w:w="1676"/>
      </w:tblGrid>
      <w:tr w:rsidR="00817F23" w:rsidRPr="009A43E4" w14:paraId="3CC35DE6" w14:textId="77777777">
        <w:trPr>
          <w:cnfStyle w:val="100000000000" w:firstRow="1" w:lastRow="0" w:firstColumn="0" w:lastColumn="0" w:oddVBand="0" w:evenVBand="0" w:oddHBand="0" w:evenHBand="0" w:firstRowFirstColumn="0" w:firstRowLastColumn="0" w:lastRowFirstColumn="0" w:lastRowLastColumn="0"/>
          <w:trHeight w:val="752"/>
        </w:trPr>
        <w:tc>
          <w:tcPr>
            <w:tcW w:w="1693" w:type="pct"/>
            <w:tcBorders>
              <w:bottom w:val="nil"/>
            </w:tcBorders>
            <w:noWrap/>
          </w:tcPr>
          <w:p w14:paraId="46C119D1" w14:textId="77777777" w:rsidR="00817F23" w:rsidRPr="009A43E4" w:rsidRDefault="00817F23" w:rsidP="00817F23">
            <w:pPr>
              <w:rPr>
                <w:rFonts w:ascii="Microsoft Sans Serif" w:eastAsia="Times New Roman" w:hAnsi="Microsoft Sans Serif" w:cs="Microsoft Sans Serif"/>
                <w:b/>
                <w:bCs/>
                <w:sz w:val="20"/>
                <w:szCs w:val="20"/>
                <w:lang w:val="en-CA" w:eastAsia="en-CA"/>
              </w:rPr>
            </w:pPr>
          </w:p>
        </w:tc>
        <w:tc>
          <w:tcPr>
            <w:tcW w:w="635" w:type="pct"/>
            <w:tcBorders>
              <w:top w:val="single" w:sz="12" w:space="0" w:color="008000"/>
              <w:bottom w:val="single" w:sz="4" w:space="0" w:color="auto"/>
            </w:tcBorders>
          </w:tcPr>
          <w:p w14:paraId="79083BAB" w14:textId="77777777" w:rsidR="00817F23" w:rsidRPr="00135364" w:rsidRDefault="00817F23" w:rsidP="00817F23">
            <w:pPr>
              <w:jc w:val="center"/>
              <w:rPr>
                <w:rFonts w:ascii="Microsoft Sans Serif" w:eastAsia="Times New Roman" w:hAnsi="Microsoft Sans Serif" w:cs="Microsoft Sans Serif"/>
                <w:b/>
                <w:bCs/>
                <w:sz w:val="20"/>
                <w:szCs w:val="20"/>
                <w:lang w:val="en-CA" w:eastAsia="en-CA"/>
              </w:rPr>
            </w:pPr>
            <w:r w:rsidRPr="00135364">
              <w:rPr>
                <w:rFonts w:ascii="Microsoft Sans Serif" w:eastAsia="Times New Roman" w:hAnsi="Microsoft Sans Serif" w:cs="Microsoft Sans Serif"/>
                <w:b/>
                <w:bCs/>
                <w:sz w:val="20"/>
                <w:szCs w:val="20"/>
                <w:lang w:val="en-CA" w:eastAsia="en-CA"/>
              </w:rPr>
              <w:t xml:space="preserve">Never </w:t>
            </w:r>
          </w:p>
        </w:tc>
        <w:tc>
          <w:tcPr>
            <w:tcW w:w="635" w:type="pct"/>
            <w:tcBorders>
              <w:top w:val="single" w:sz="12" w:space="0" w:color="008000"/>
              <w:bottom w:val="single" w:sz="4" w:space="0" w:color="auto"/>
            </w:tcBorders>
          </w:tcPr>
          <w:p w14:paraId="4BE5F9AB" w14:textId="77777777" w:rsidR="00817F23" w:rsidRDefault="00817F23" w:rsidP="00817F23">
            <w:pPr>
              <w:jc w:val="center"/>
              <w:rPr>
                <w:rFonts w:ascii="Microsoft Sans Serif" w:eastAsia="Times New Roman" w:hAnsi="Microsoft Sans Serif" w:cs="Microsoft Sans Serif"/>
                <w:b/>
                <w:bCs/>
                <w:sz w:val="20"/>
                <w:szCs w:val="20"/>
                <w:lang w:val="en-CA" w:eastAsia="en-CA"/>
              </w:rPr>
            </w:pPr>
            <w:r w:rsidRPr="00135364">
              <w:rPr>
                <w:rFonts w:ascii="Microsoft Sans Serif" w:eastAsia="Times New Roman" w:hAnsi="Microsoft Sans Serif" w:cs="Microsoft Sans Serif"/>
                <w:b/>
                <w:bCs/>
                <w:sz w:val="20"/>
                <w:szCs w:val="20"/>
                <w:lang w:val="en-CA" w:eastAsia="en-CA"/>
              </w:rPr>
              <w:t xml:space="preserve">Seldom </w:t>
            </w:r>
          </w:p>
          <w:p w14:paraId="50A7FA59" w14:textId="77777777" w:rsidR="00817F23" w:rsidRPr="00135364" w:rsidRDefault="00817F23" w:rsidP="00817F23">
            <w:pPr>
              <w:jc w:val="center"/>
              <w:rPr>
                <w:rFonts w:ascii="Microsoft Sans Serif" w:eastAsia="Times New Roman" w:hAnsi="Microsoft Sans Serif" w:cs="Microsoft Sans Serif"/>
                <w:b/>
                <w:bCs/>
                <w:sz w:val="20"/>
                <w:szCs w:val="20"/>
                <w:lang w:val="en-CA" w:eastAsia="en-CA"/>
              </w:rPr>
            </w:pPr>
            <w:r w:rsidRPr="00FC6255">
              <w:rPr>
                <w:rFonts w:ascii="Microsoft Sans Serif" w:eastAsia="Times New Roman" w:hAnsi="Microsoft Sans Serif" w:cs="Microsoft Sans Serif"/>
                <w:b/>
                <w:bCs/>
                <w:sz w:val="16"/>
                <w:szCs w:val="16"/>
                <w:lang w:val="en-CA" w:eastAsia="en-CA"/>
              </w:rPr>
              <w:t>(not more than twice per year)</w:t>
            </w:r>
          </w:p>
        </w:tc>
        <w:tc>
          <w:tcPr>
            <w:tcW w:w="765" w:type="pct"/>
            <w:tcBorders>
              <w:top w:val="single" w:sz="12" w:space="0" w:color="008000"/>
              <w:bottom w:val="single" w:sz="4" w:space="0" w:color="auto"/>
            </w:tcBorders>
          </w:tcPr>
          <w:p w14:paraId="573C1161" w14:textId="77777777" w:rsidR="00817F23" w:rsidRDefault="00817F23" w:rsidP="00817F23">
            <w:pPr>
              <w:jc w:val="center"/>
              <w:rPr>
                <w:rFonts w:ascii="Microsoft Sans Serif" w:eastAsia="Times New Roman" w:hAnsi="Microsoft Sans Serif" w:cs="Microsoft Sans Serif"/>
                <w:b/>
                <w:bCs/>
                <w:sz w:val="20"/>
                <w:szCs w:val="20"/>
                <w:lang w:val="en-CA" w:eastAsia="en-CA"/>
              </w:rPr>
            </w:pPr>
            <w:r w:rsidRPr="00135364">
              <w:rPr>
                <w:rFonts w:ascii="Microsoft Sans Serif" w:eastAsia="Times New Roman" w:hAnsi="Microsoft Sans Serif" w:cs="Microsoft Sans Serif"/>
                <w:b/>
                <w:bCs/>
                <w:sz w:val="20"/>
                <w:szCs w:val="20"/>
                <w:lang w:val="en-CA" w:eastAsia="en-CA"/>
              </w:rPr>
              <w:t xml:space="preserve">Occasionally </w:t>
            </w:r>
          </w:p>
          <w:p w14:paraId="3673A967" w14:textId="77777777" w:rsidR="00817F23" w:rsidRPr="00135364" w:rsidRDefault="00817F23" w:rsidP="00817F23">
            <w:pPr>
              <w:jc w:val="center"/>
              <w:rPr>
                <w:rFonts w:ascii="Microsoft Sans Serif" w:eastAsia="Times New Roman" w:hAnsi="Microsoft Sans Serif" w:cs="Microsoft Sans Serif"/>
                <w:b/>
                <w:bCs/>
                <w:sz w:val="20"/>
                <w:szCs w:val="20"/>
                <w:lang w:val="en-CA" w:eastAsia="en-CA"/>
              </w:rPr>
            </w:pPr>
            <w:r w:rsidRPr="00FC6255">
              <w:rPr>
                <w:rFonts w:ascii="Microsoft Sans Serif" w:eastAsia="Times New Roman" w:hAnsi="Microsoft Sans Serif" w:cs="Microsoft Sans Serif"/>
                <w:b/>
                <w:bCs/>
                <w:sz w:val="16"/>
                <w:szCs w:val="16"/>
                <w:lang w:val="en-CA" w:eastAsia="en-CA"/>
              </w:rPr>
              <w:t>(at least every three months)</w:t>
            </w:r>
          </w:p>
        </w:tc>
        <w:tc>
          <w:tcPr>
            <w:tcW w:w="574" w:type="pct"/>
            <w:tcBorders>
              <w:top w:val="single" w:sz="12" w:space="0" w:color="008000"/>
              <w:bottom w:val="single" w:sz="4" w:space="0" w:color="auto"/>
            </w:tcBorders>
          </w:tcPr>
          <w:p w14:paraId="0E36B53B" w14:textId="77777777" w:rsidR="00817F23" w:rsidRDefault="00817F23" w:rsidP="00817F23">
            <w:pPr>
              <w:jc w:val="center"/>
              <w:rPr>
                <w:rFonts w:ascii="Microsoft Sans Serif" w:eastAsia="Times New Roman" w:hAnsi="Microsoft Sans Serif" w:cs="Microsoft Sans Serif"/>
                <w:b/>
                <w:bCs/>
                <w:sz w:val="20"/>
                <w:szCs w:val="20"/>
                <w:lang w:val="en-CA" w:eastAsia="en-CA"/>
              </w:rPr>
            </w:pPr>
            <w:r w:rsidRPr="00135364">
              <w:rPr>
                <w:rFonts w:ascii="Microsoft Sans Serif" w:eastAsia="Times New Roman" w:hAnsi="Microsoft Sans Serif" w:cs="Microsoft Sans Serif"/>
                <w:b/>
                <w:bCs/>
                <w:sz w:val="20"/>
                <w:szCs w:val="20"/>
                <w:lang w:val="en-CA" w:eastAsia="en-CA"/>
              </w:rPr>
              <w:t xml:space="preserve">Often </w:t>
            </w:r>
          </w:p>
          <w:p w14:paraId="63D33F9F" w14:textId="77777777" w:rsidR="00817F23" w:rsidRPr="00135364" w:rsidRDefault="00817F23" w:rsidP="00817F23">
            <w:pPr>
              <w:jc w:val="center"/>
              <w:rPr>
                <w:rFonts w:ascii="Microsoft Sans Serif" w:eastAsia="Times New Roman" w:hAnsi="Microsoft Sans Serif" w:cs="Microsoft Sans Serif"/>
                <w:b/>
                <w:bCs/>
                <w:sz w:val="20"/>
                <w:szCs w:val="20"/>
                <w:lang w:val="en-CA" w:eastAsia="en-CA"/>
              </w:rPr>
            </w:pPr>
            <w:r w:rsidRPr="00FC6255">
              <w:rPr>
                <w:rFonts w:ascii="Microsoft Sans Serif" w:eastAsia="Times New Roman" w:hAnsi="Microsoft Sans Serif" w:cs="Microsoft Sans Serif"/>
                <w:b/>
                <w:bCs/>
                <w:sz w:val="16"/>
                <w:szCs w:val="16"/>
                <w:lang w:val="en-CA" w:eastAsia="en-CA"/>
              </w:rPr>
              <w:t>(at least every month)</w:t>
            </w:r>
          </w:p>
        </w:tc>
        <w:tc>
          <w:tcPr>
            <w:tcW w:w="698" w:type="pct"/>
            <w:gridSpan w:val="2"/>
            <w:tcBorders>
              <w:top w:val="single" w:sz="12" w:space="0" w:color="008000"/>
              <w:bottom w:val="single" w:sz="4" w:space="0" w:color="auto"/>
            </w:tcBorders>
          </w:tcPr>
          <w:p w14:paraId="3A3C9087" w14:textId="77777777" w:rsidR="00817F23" w:rsidRDefault="00817F23" w:rsidP="00817F23">
            <w:pPr>
              <w:jc w:val="center"/>
              <w:rPr>
                <w:rFonts w:ascii="Microsoft Sans Serif" w:eastAsia="Times New Roman" w:hAnsi="Microsoft Sans Serif" w:cs="Microsoft Sans Serif"/>
                <w:b/>
                <w:bCs/>
                <w:sz w:val="20"/>
                <w:szCs w:val="20"/>
                <w:lang w:val="en-CA" w:eastAsia="en-CA"/>
              </w:rPr>
            </w:pPr>
            <w:r w:rsidRPr="00135364">
              <w:rPr>
                <w:rFonts w:ascii="Microsoft Sans Serif" w:eastAsia="Times New Roman" w:hAnsi="Microsoft Sans Serif" w:cs="Microsoft Sans Serif"/>
                <w:b/>
                <w:bCs/>
                <w:sz w:val="20"/>
                <w:szCs w:val="20"/>
                <w:lang w:val="en-CA" w:eastAsia="en-CA"/>
              </w:rPr>
              <w:t xml:space="preserve">Very Often </w:t>
            </w:r>
          </w:p>
          <w:p w14:paraId="408155BF" w14:textId="77777777" w:rsidR="00817F23" w:rsidRPr="00135364" w:rsidRDefault="00817F23" w:rsidP="00817F23">
            <w:pPr>
              <w:jc w:val="center"/>
              <w:rPr>
                <w:rFonts w:ascii="Microsoft Sans Serif" w:eastAsia="Times New Roman" w:hAnsi="Microsoft Sans Serif" w:cs="Microsoft Sans Serif"/>
                <w:b/>
                <w:bCs/>
                <w:sz w:val="20"/>
                <w:szCs w:val="20"/>
                <w:lang w:val="en-CA" w:eastAsia="en-CA"/>
              </w:rPr>
            </w:pPr>
            <w:r w:rsidRPr="00FC6255">
              <w:rPr>
                <w:rFonts w:ascii="Microsoft Sans Serif" w:eastAsia="Times New Roman" w:hAnsi="Microsoft Sans Serif" w:cs="Microsoft Sans Serif"/>
                <w:b/>
                <w:bCs/>
                <w:sz w:val="16"/>
                <w:szCs w:val="16"/>
                <w:lang w:val="en-CA" w:eastAsia="en-CA"/>
              </w:rPr>
              <w:t>(more than twice per month)</w:t>
            </w:r>
          </w:p>
        </w:tc>
      </w:tr>
      <w:tr w:rsidR="00BC0F00" w:rsidRPr="009A43E4" w14:paraId="63D17357" w14:textId="77777777">
        <w:trPr>
          <w:trHeight w:val="510"/>
        </w:trPr>
        <w:tc>
          <w:tcPr>
            <w:tcW w:w="1693" w:type="pct"/>
            <w:tcBorders>
              <w:top w:val="nil"/>
              <w:bottom w:val="single" w:sz="4" w:space="0" w:color="auto"/>
            </w:tcBorders>
          </w:tcPr>
          <w:p w14:paraId="2DF60E68" w14:textId="77777777" w:rsidR="00BC0F00" w:rsidRPr="009A43E4" w:rsidRDefault="00BC0F00" w:rsidP="00817F23">
            <w:pPr>
              <w:rPr>
                <w:rFonts w:ascii="Microsoft Sans Serif" w:eastAsia="Times New Roman" w:hAnsi="Microsoft Sans Serif" w:cs="Microsoft Sans Serif"/>
                <w:sz w:val="20"/>
                <w:szCs w:val="20"/>
                <w:lang w:val="en-CA" w:eastAsia="en-CA"/>
              </w:rPr>
            </w:pPr>
            <w:r w:rsidRPr="009A43E4">
              <w:rPr>
                <w:rFonts w:ascii="Microsoft Sans Serif" w:eastAsia="Times New Roman" w:hAnsi="Microsoft Sans Serif" w:cs="Microsoft Sans Serif"/>
                <w:sz w:val="20"/>
                <w:szCs w:val="20"/>
                <w:lang w:val="en-CA" w:eastAsia="en-CA"/>
              </w:rPr>
              <w:t>Invite academics to serve on boards, panels, or committees</w:t>
            </w:r>
          </w:p>
        </w:tc>
        <w:tc>
          <w:tcPr>
            <w:tcW w:w="635" w:type="pct"/>
            <w:tcBorders>
              <w:top w:val="single" w:sz="4" w:space="0" w:color="auto"/>
              <w:bottom w:val="single" w:sz="4" w:space="0" w:color="auto"/>
            </w:tcBorders>
            <w:noWrap/>
            <w:vAlign w:val="bottom"/>
          </w:tcPr>
          <w:p w14:paraId="53937B0E" w14:textId="77777777" w:rsidR="00BC0F00" w:rsidRDefault="00BC0F00" w:rsidP="00E4014D">
            <w:pPr>
              <w:jc w:val="center"/>
              <w:rPr>
                <w:rFonts w:ascii="Microsoft Sans Serif" w:hAnsi="Microsoft Sans Serif" w:cs="Microsoft Sans Serif"/>
                <w:sz w:val="20"/>
                <w:szCs w:val="20"/>
              </w:rPr>
            </w:pPr>
            <w:r>
              <w:rPr>
                <w:rFonts w:ascii="Microsoft Sans Serif" w:hAnsi="Microsoft Sans Serif" w:cs="Microsoft Sans Serif"/>
                <w:sz w:val="20"/>
                <w:szCs w:val="20"/>
              </w:rPr>
              <w:t>13.1%</w:t>
            </w:r>
          </w:p>
        </w:tc>
        <w:tc>
          <w:tcPr>
            <w:tcW w:w="635" w:type="pct"/>
            <w:tcBorders>
              <w:top w:val="single" w:sz="4" w:space="0" w:color="auto"/>
              <w:bottom w:val="single" w:sz="4" w:space="0" w:color="auto"/>
            </w:tcBorders>
            <w:noWrap/>
            <w:vAlign w:val="bottom"/>
          </w:tcPr>
          <w:p w14:paraId="5BE4A8AB" w14:textId="77777777" w:rsidR="00BC0F00" w:rsidRDefault="00BC0F00" w:rsidP="00E4014D">
            <w:pPr>
              <w:jc w:val="center"/>
              <w:rPr>
                <w:rFonts w:ascii="Microsoft Sans Serif" w:hAnsi="Microsoft Sans Serif" w:cs="Microsoft Sans Serif"/>
                <w:sz w:val="20"/>
                <w:szCs w:val="20"/>
              </w:rPr>
            </w:pPr>
            <w:r>
              <w:rPr>
                <w:rFonts w:ascii="Microsoft Sans Serif" w:hAnsi="Microsoft Sans Serif" w:cs="Microsoft Sans Serif"/>
                <w:sz w:val="20"/>
                <w:szCs w:val="20"/>
              </w:rPr>
              <w:t>25.6%</w:t>
            </w:r>
          </w:p>
        </w:tc>
        <w:tc>
          <w:tcPr>
            <w:tcW w:w="765" w:type="pct"/>
            <w:tcBorders>
              <w:top w:val="single" w:sz="4" w:space="0" w:color="auto"/>
              <w:bottom w:val="single" w:sz="4" w:space="0" w:color="auto"/>
            </w:tcBorders>
            <w:noWrap/>
            <w:vAlign w:val="bottom"/>
          </w:tcPr>
          <w:p w14:paraId="6E278721" w14:textId="77777777" w:rsidR="00BC0F00" w:rsidRDefault="00BC0F00" w:rsidP="00E4014D">
            <w:pPr>
              <w:jc w:val="center"/>
              <w:rPr>
                <w:rFonts w:ascii="Microsoft Sans Serif" w:hAnsi="Microsoft Sans Serif" w:cs="Microsoft Sans Serif"/>
                <w:sz w:val="20"/>
                <w:szCs w:val="20"/>
              </w:rPr>
            </w:pPr>
            <w:r>
              <w:rPr>
                <w:rFonts w:ascii="Microsoft Sans Serif" w:hAnsi="Microsoft Sans Serif" w:cs="Microsoft Sans Serif"/>
                <w:sz w:val="20"/>
                <w:szCs w:val="20"/>
              </w:rPr>
              <w:t>35.7%</w:t>
            </w:r>
          </w:p>
        </w:tc>
        <w:tc>
          <w:tcPr>
            <w:tcW w:w="636" w:type="pct"/>
            <w:gridSpan w:val="2"/>
            <w:tcBorders>
              <w:top w:val="single" w:sz="4" w:space="0" w:color="auto"/>
              <w:bottom w:val="single" w:sz="4" w:space="0" w:color="auto"/>
            </w:tcBorders>
            <w:noWrap/>
            <w:vAlign w:val="bottom"/>
          </w:tcPr>
          <w:p w14:paraId="7D77E31D" w14:textId="77777777" w:rsidR="00BC0F00" w:rsidRDefault="00BC0F00" w:rsidP="00E4014D">
            <w:pPr>
              <w:jc w:val="center"/>
              <w:rPr>
                <w:rFonts w:ascii="Microsoft Sans Serif" w:hAnsi="Microsoft Sans Serif" w:cs="Microsoft Sans Serif"/>
                <w:sz w:val="20"/>
                <w:szCs w:val="20"/>
              </w:rPr>
            </w:pPr>
            <w:r>
              <w:rPr>
                <w:rFonts w:ascii="Microsoft Sans Serif" w:hAnsi="Microsoft Sans Serif" w:cs="Microsoft Sans Serif"/>
                <w:sz w:val="20"/>
                <w:szCs w:val="20"/>
              </w:rPr>
              <w:t>20.2%</w:t>
            </w:r>
          </w:p>
        </w:tc>
        <w:tc>
          <w:tcPr>
            <w:tcW w:w="636" w:type="pct"/>
            <w:tcBorders>
              <w:top w:val="single" w:sz="4" w:space="0" w:color="auto"/>
              <w:bottom w:val="single" w:sz="4" w:space="0" w:color="auto"/>
            </w:tcBorders>
            <w:noWrap/>
            <w:vAlign w:val="bottom"/>
          </w:tcPr>
          <w:p w14:paraId="7B50BF8D" w14:textId="77777777" w:rsidR="00BC0F00" w:rsidRDefault="00BC0F00" w:rsidP="00E4014D">
            <w:pPr>
              <w:jc w:val="center"/>
              <w:rPr>
                <w:rFonts w:ascii="Microsoft Sans Serif" w:hAnsi="Microsoft Sans Serif" w:cs="Microsoft Sans Serif"/>
                <w:sz w:val="20"/>
                <w:szCs w:val="20"/>
              </w:rPr>
            </w:pPr>
            <w:r>
              <w:rPr>
                <w:rFonts w:ascii="Microsoft Sans Serif" w:hAnsi="Microsoft Sans Serif" w:cs="Microsoft Sans Serif"/>
                <w:sz w:val="20"/>
                <w:szCs w:val="20"/>
              </w:rPr>
              <w:t>5.4%</w:t>
            </w:r>
          </w:p>
        </w:tc>
      </w:tr>
      <w:tr w:rsidR="00BC0F00" w:rsidRPr="009A43E4" w14:paraId="0BDE30C7" w14:textId="77777777">
        <w:trPr>
          <w:trHeight w:val="510"/>
        </w:trPr>
        <w:tc>
          <w:tcPr>
            <w:tcW w:w="1693" w:type="pct"/>
            <w:tcBorders>
              <w:top w:val="single" w:sz="4" w:space="0" w:color="auto"/>
              <w:bottom w:val="single" w:sz="4" w:space="0" w:color="auto"/>
            </w:tcBorders>
          </w:tcPr>
          <w:p w14:paraId="7542B8D4" w14:textId="77777777" w:rsidR="00BC0F00" w:rsidRPr="009A43E4" w:rsidRDefault="00BC0F00" w:rsidP="00817F23">
            <w:pPr>
              <w:rPr>
                <w:rFonts w:ascii="Microsoft Sans Serif" w:eastAsia="Times New Roman" w:hAnsi="Microsoft Sans Serif" w:cs="Microsoft Sans Serif"/>
                <w:sz w:val="20"/>
                <w:szCs w:val="20"/>
                <w:lang w:val="en-CA" w:eastAsia="en-CA"/>
              </w:rPr>
            </w:pPr>
            <w:r w:rsidRPr="009A43E4">
              <w:rPr>
                <w:rFonts w:ascii="Microsoft Sans Serif" w:eastAsia="Times New Roman" w:hAnsi="Microsoft Sans Serif" w:cs="Microsoft Sans Serif"/>
                <w:sz w:val="20"/>
                <w:szCs w:val="20"/>
                <w:lang w:val="en-CA" w:eastAsia="en-CA"/>
              </w:rPr>
              <w:t>Participate in meetings that discussed academic research</w:t>
            </w:r>
          </w:p>
        </w:tc>
        <w:tc>
          <w:tcPr>
            <w:tcW w:w="635" w:type="pct"/>
            <w:tcBorders>
              <w:top w:val="single" w:sz="4" w:space="0" w:color="auto"/>
              <w:bottom w:val="single" w:sz="4" w:space="0" w:color="auto"/>
            </w:tcBorders>
            <w:noWrap/>
            <w:vAlign w:val="bottom"/>
          </w:tcPr>
          <w:p w14:paraId="1BB99042" w14:textId="77777777" w:rsidR="00BC0F00" w:rsidRDefault="00BC0F00" w:rsidP="00E4014D">
            <w:pPr>
              <w:jc w:val="center"/>
              <w:rPr>
                <w:rFonts w:ascii="Microsoft Sans Serif" w:hAnsi="Microsoft Sans Serif" w:cs="Microsoft Sans Serif"/>
                <w:sz w:val="20"/>
                <w:szCs w:val="20"/>
              </w:rPr>
            </w:pPr>
            <w:r>
              <w:rPr>
                <w:rFonts w:ascii="Microsoft Sans Serif" w:hAnsi="Microsoft Sans Serif" w:cs="Microsoft Sans Serif"/>
                <w:sz w:val="20"/>
                <w:szCs w:val="20"/>
              </w:rPr>
              <w:t>6.5%</w:t>
            </w:r>
          </w:p>
        </w:tc>
        <w:tc>
          <w:tcPr>
            <w:tcW w:w="635" w:type="pct"/>
            <w:tcBorders>
              <w:top w:val="single" w:sz="4" w:space="0" w:color="auto"/>
              <w:bottom w:val="single" w:sz="4" w:space="0" w:color="auto"/>
            </w:tcBorders>
            <w:noWrap/>
            <w:vAlign w:val="bottom"/>
          </w:tcPr>
          <w:p w14:paraId="38DFF58A" w14:textId="77777777" w:rsidR="00BC0F00" w:rsidRDefault="00BC0F00" w:rsidP="00E4014D">
            <w:pPr>
              <w:jc w:val="center"/>
              <w:rPr>
                <w:rFonts w:ascii="Microsoft Sans Serif" w:hAnsi="Microsoft Sans Serif" w:cs="Microsoft Sans Serif"/>
                <w:sz w:val="20"/>
                <w:szCs w:val="20"/>
              </w:rPr>
            </w:pPr>
            <w:r>
              <w:rPr>
                <w:rFonts w:ascii="Microsoft Sans Serif" w:hAnsi="Microsoft Sans Serif" w:cs="Microsoft Sans Serif"/>
                <w:sz w:val="20"/>
                <w:szCs w:val="20"/>
              </w:rPr>
              <w:t>30.4%</w:t>
            </w:r>
          </w:p>
        </w:tc>
        <w:tc>
          <w:tcPr>
            <w:tcW w:w="765" w:type="pct"/>
            <w:tcBorders>
              <w:top w:val="single" w:sz="4" w:space="0" w:color="auto"/>
              <w:bottom w:val="single" w:sz="4" w:space="0" w:color="auto"/>
            </w:tcBorders>
            <w:noWrap/>
            <w:vAlign w:val="bottom"/>
          </w:tcPr>
          <w:p w14:paraId="02DB8681" w14:textId="77777777" w:rsidR="00BC0F00" w:rsidRDefault="00BC0F00" w:rsidP="00E4014D">
            <w:pPr>
              <w:jc w:val="center"/>
              <w:rPr>
                <w:rFonts w:ascii="Microsoft Sans Serif" w:hAnsi="Microsoft Sans Serif" w:cs="Microsoft Sans Serif"/>
                <w:sz w:val="20"/>
                <w:szCs w:val="20"/>
              </w:rPr>
            </w:pPr>
            <w:r>
              <w:rPr>
                <w:rFonts w:ascii="Microsoft Sans Serif" w:hAnsi="Microsoft Sans Serif" w:cs="Microsoft Sans Serif"/>
                <w:sz w:val="20"/>
                <w:szCs w:val="20"/>
              </w:rPr>
              <w:t>28.6%</w:t>
            </w:r>
          </w:p>
        </w:tc>
        <w:tc>
          <w:tcPr>
            <w:tcW w:w="636" w:type="pct"/>
            <w:gridSpan w:val="2"/>
            <w:tcBorders>
              <w:top w:val="single" w:sz="4" w:space="0" w:color="auto"/>
              <w:bottom w:val="single" w:sz="4" w:space="0" w:color="auto"/>
            </w:tcBorders>
            <w:noWrap/>
            <w:vAlign w:val="bottom"/>
          </w:tcPr>
          <w:p w14:paraId="3AC3AE66" w14:textId="77777777" w:rsidR="00BC0F00" w:rsidRDefault="00BC0F00" w:rsidP="00E4014D">
            <w:pPr>
              <w:jc w:val="center"/>
              <w:rPr>
                <w:rFonts w:ascii="Microsoft Sans Serif" w:hAnsi="Microsoft Sans Serif" w:cs="Microsoft Sans Serif"/>
                <w:sz w:val="20"/>
                <w:szCs w:val="20"/>
              </w:rPr>
            </w:pPr>
            <w:r>
              <w:rPr>
                <w:rFonts w:ascii="Microsoft Sans Serif" w:hAnsi="Microsoft Sans Serif" w:cs="Microsoft Sans Serif"/>
                <w:sz w:val="20"/>
                <w:szCs w:val="20"/>
              </w:rPr>
              <w:t>25.6%</w:t>
            </w:r>
          </w:p>
        </w:tc>
        <w:tc>
          <w:tcPr>
            <w:tcW w:w="636" w:type="pct"/>
            <w:tcBorders>
              <w:top w:val="single" w:sz="4" w:space="0" w:color="auto"/>
              <w:bottom w:val="single" w:sz="4" w:space="0" w:color="auto"/>
            </w:tcBorders>
            <w:noWrap/>
            <w:vAlign w:val="bottom"/>
          </w:tcPr>
          <w:p w14:paraId="000646FE" w14:textId="77777777" w:rsidR="00BC0F00" w:rsidRDefault="00BC0F00" w:rsidP="00E4014D">
            <w:pPr>
              <w:jc w:val="center"/>
              <w:rPr>
                <w:rFonts w:ascii="Microsoft Sans Serif" w:hAnsi="Microsoft Sans Serif" w:cs="Microsoft Sans Serif"/>
                <w:sz w:val="20"/>
                <w:szCs w:val="20"/>
              </w:rPr>
            </w:pPr>
            <w:r>
              <w:rPr>
                <w:rFonts w:ascii="Microsoft Sans Serif" w:hAnsi="Microsoft Sans Serif" w:cs="Microsoft Sans Serif"/>
                <w:sz w:val="20"/>
                <w:szCs w:val="20"/>
              </w:rPr>
              <w:t>8.9%</w:t>
            </w:r>
          </w:p>
        </w:tc>
      </w:tr>
      <w:tr w:rsidR="00BC0F00" w:rsidRPr="009A43E4" w14:paraId="3F985219" w14:textId="77777777">
        <w:trPr>
          <w:trHeight w:val="510"/>
        </w:trPr>
        <w:tc>
          <w:tcPr>
            <w:tcW w:w="1693" w:type="pct"/>
            <w:tcBorders>
              <w:top w:val="single" w:sz="4" w:space="0" w:color="auto"/>
              <w:bottom w:val="single" w:sz="4" w:space="0" w:color="auto"/>
            </w:tcBorders>
          </w:tcPr>
          <w:p w14:paraId="6602061A" w14:textId="77777777" w:rsidR="00BC0F00" w:rsidRPr="009A43E4" w:rsidRDefault="00BC0F00" w:rsidP="00817F23">
            <w:pPr>
              <w:rPr>
                <w:rFonts w:ascii="Microsoft Sans Serif" w:eastAsia="Times New Roman" w:hAnsi="Microsoft Sans Serif" w:cs="Microsoft Sans Serif"/>
                <w:sz w:val="20"/>
                <w:szCs w:val="20"/>
                <w:lang w:val="en-CA" w:eastAsia="en-CA"/>
              </w:rPr>
            </w:pPr>
            <w:r w:rsidRPr="009A43E4">
              <w:rPr>
                <w:rFonts w:ascii="Microsoft Sans Serif" w:eastAsia="Times New Roman" w:hAnsi="Microsoft Sans Serif" w:cs="Microsoft Sans Serif"/>
                <w:sz w:val="20"/>
                <w:szCs w:val="20"/>
                <w:lang w:val="en-CA" w:eastAsia="en-CA"/>
              </w:rPr>
              <w:t>Attend workshop/training session led by academics</w:t>
            </w:r>
          </w:p>
        </w:tc>
        <w:tc>
          <w:tcPr>
            <w:tcW w:w="635" w:type="pct"/>
            <w:tcBorders>
              <w:top w:val="single" w:sz="4" w:space="0" w:color="auto"/>
              <w:bottom w:val="single" w:sz="4" w:space="0" w:color="auto"/>
            </w:tcBorders>
            <w:noWrap/>
            <w:vAlign w:val="bottom"/>
          </w:tcPr>
          <w:p w14:paraId="76B109B3" w14:textId="77777777" w:rsidR="00BC0F00" w:rsidRDefault="00BC0F00" w:rsidP="00E4014D">
            <w:pPr>
              <w:jc w:val="center"/>
              <w:rPr>
                <w:rFonts w:ascii="Microsoft Sans Serif" w:hAnsi="Microsoft Sans Serif" w:cs="Microsoft Sans Serif"/>
                <w:sz w:val="20"/>
                <w:szCs w:val="20"/>
              </w:rPr>
            </w:pPr>
            <w:r>
              <w:rPr>
                <w:rFonts w:ascii="Microsoft Sans Serif" w:hAnsi="Microsoft Sans Serif" w:cs="Microsoft Sans Serif"/>
                <w:sz w:val="20"/>
                <w:szCs w:val="20"/>
              </w:rPr>
              <w:t>6.0%</w:t>
            </w:r>
          </w:p>
        </w:tc>
        <w:tc>
          <w:tcPr>
            <w:tcW w:w="635" w:type="pct"/>
            <w:tcBorders>
              <w:top w:val="single" w:sz="4" w:space="0" w:color="auto"/>
              <w:bottom w:val="single" w:sz="4" w:space="0" w:color="auto"/>
            </w:tcBorders>
            <w:noWrap/>
            <w:vAlign w:val="bottom"/>
          </w:tcPr>
          <w:p w14:paraId="00CE0221" w14:textId="77777777" w:rsidR="00BC0F00" w:rsidRDefault="00BC0F00" w:rsidP="00E4014D">
            <w:pPr>
              <w:jc w:val="center"/>
              <w:rPr>
                <w:rFonts w:ascii="Microsoft Sans Serif" w:hAnsi="Microsoft Sans Serif" w:cs="Microsoft Sans Serif"/>
                <w:sz w:val="20"/>
                <w:szCs w:val="20"/>
              </w:rPr>
            </w:pPr>
            <w:r>
              <w:rPr>
                <w:rFonts w:ascii="Microsoft Sans Serif" w:hAnsi="Microsoft Sans Serif" w:cs="Microsoft Sans Serif"/>
                <w:sz w:val="20"/>
                <w:szCs w:val="20"/>
              </w:rPr>
              <w:t>28.7%</w:t>
            </w:r>
          </w:p>
        </w:tc>
        <w:tc>
          <w:tcPr>
            <w:tcW w:w="765" w:type="pct"/>
            <w:tcBorders>
              <w:top w:val="single" w:sz="4" w:space="0" w:color="auto"/>
              <w:bottom w:val="single" w:sz="4" w:space="0" w:color="auto"/>
            </w:tcBorders>
            <w:noWrap/>
            <w:vAlign w:val="bottom"/>
          </w:tcPr>
          <w:p w14:paraId="7A346741" w14:textId="77777777" w:rsidR="00BC0F00" w:rsidRDefault="00BC0F00" w:rsidP="00E4014D">
            <w:pPr>
              <w:jc w:val="center"/>
              <w:rPr>
                <w:rFonts w:ascii="Microsoft Sans Serif" w:hAnsi="Microsoft Sans Serif" w:cs="Microsoft Sans Serif"/>
                <w:sz w:val="20"/>
                <w:szCs w:val="20"/>
              </w:rPr>
            </w:pPr>
            <w:r>
              <w:rPr>
                <w:rFonts w:ascii="Microsoft Sans Serif" w:hAnsi="Microsoft Sans Serif" w:cs="Microsoft Sans Serif"/>
                <w:sz w:val="20"/>
                <w:szCs w:val="20"/>
              </w:rPr>
              <w:t>38.9%</w:t>
            </w:r>
          </w:p>
        </w:tc>
        <w:tc>
          <w:tcPr>
            <w:tcW w:w="636" w:type="pct"/>
            <w:gridSpan w:val="2"/>
            <w:tcBorders>
              <w:top w:val="single" w:sz="4" w:space="0" w:color="auto"/>
              <w:bottom w:val="single" w:sz="4" w:space="0" w:color="auto"/>
            </w:tcBorders>
            <w:noWrap/>
            <w:vAlign w:val="bottom"/>
          </w:tcPr>
          <w:p w14:paraId="476A1C74" w14:textId="77777777" w:rsidR="00BC0F00" w:rsidRDefault="00BC0F00" w:rsidP="00E4014D">
            <w:pPr>
              <w:jc w:val="center"/>
              <w:rPr>
                <w:rFonts w:ascii="Microsoft Sans Serif" w:hAnsi="Microsoft Sans Serif" w:cs="Microsoft Sans Serif"/>
                <w:sz w:val="20"/>
                <w:szCs w:val="20"/>
              </w:rPr>
            </w:pPr>
            <w:r>
              <w:rPr>
                <w:rFonts w:ascii="Microsoft Sans Serif" w:hAnsi="Microsoft Sans Serif" w:cs="Microsoft Sans Serif"/>
                <w:sz w:val="20"/>
                <w:szCs w:val="20"/>
              </w:rPr>
              <w:t>17.4%</w:t>
            </w:r>
          </w:p>
        </w:tc>
        <w:tc>
          <w:tcPr>
            <w:tcW w:w="636" w:type="pct"/>
            <w:tcBorders>
              <w:top w:val="single" w:sz="4" w:space="0" w:color="auto"/>
              <w:bottom w:val="single" w:sz="4" w:space="0" w:color="auto"/>
            </w:tcBorders>
            <w:noWrap/>
            <w:vAlign w:val="bottom"/>
          </w:tcPr>
          <w:p w14:paraId="4CD26C7A" w14:textId="77777777" w:rsidR="00BC0F00" w:rsidRDefault="00BC0F00" w:rsidP="00E4014D">
            <w:pPr>
              <w:jc w:val="center"/>
              <w:rPr>
                <w:rFonts w:ascii="Microsoft Sans Serif" w:hAnsi="Microsoft Sans Serif" w:cs="Microsoft Sans Serif"/>
                <w:sz w:val="20"/>
                <w:szCs w:val="20"/>
              </w:rPr>
            </w:pPr>
            <w:r>
              <w:rPr>
                <w:rFonts w:ascii="Microsoft Sans Serif" w:hAnsi="Microsoft Sans Serif" w:cs="Microsoft Sans Serif"/>
                <w:sz w:val="20"/>
                <w:szCs w:val="20"/>
              </w:rPr>
              <w:t>9.0%</w:t>
            </w:r>
          </w:p>
        </w:tc>
      </w:tr>
      <w:tr w:rsidR="00BC0F00" w:rsidRPr="009A43E4" w14:paraId="0A6F1D5C" w14:textId="77777777">
        <w:trPr>
          <w:trHeight w:val="765"/>
        </w:trPr>
        <w:tc>
          <w:tcPr>
            <w:tcW w:w="1693" w:type="pct"/>
            <w:tcBorders>
              <w:top w:val="single" w:sz="4" w:space="0" w:color="auto"/>
              <w:bottom w:val="single" w:sz="4" w:space="0" w:color="auto"/>
            </w:tcBorders>
          </w:tcPr>
          <w:p w14:paraId="51925163" w14:textId="77777777" w:rsidR="00BC0F00" w:rsidRPr="009A43E4" w:rsidRDefault="00BC0F00" w:rsidP="00817F23">
            <w:pPr>
              <w:rPr>
                <w:rFonts w:ascii="Microsoft Sans Serif" w:eastAsia="Times New Roman" w:hAnsi="Microsoft Sans Serif" w:cs="Microsoft Sans Serif"/>
                <w:sz w:val="20"/>
                <w:szCs w:val="20"/>
                <w:lang w:val="en-CA" w:eastAsia="en-CA"/>
              </w:rPr>
            </w:pPr>
            <w:r w:rsidRPr="009A43E4">
              <w:rPr>
                <w:rFonts w:ascii="Microsoft Sans Serif" w:eastAsia="Times New Roman" w:hAnsi="Microsoft Sans Serif" w:cs="Microsoft Sans Serif"/>
                <w:sz w:val="20"/>
                <w:szCs w:val="20"/>
                <w:lang w:val="en-CA" w:eastAsia="en-CA"/>
              </w:rPr>
              <w:t>Commission academic research reports from policy and public administration schools/programs</w:t>
            </w:r>
          </w:p>
        </w:tc>
        <w:tc>
          <w:tcPr>
            <w:tcW w:w="635" w:type="pct"/>
            <w:tcBorders>
              <w:top w:val="single" w:sz="4" w:space="0" w:color="auto"/>
              <w:bottom w:val="single" w:sz="4" w:space="0" w:color="auto"/>
            </w:tcBorders>
            <w:noWrap/>
            <w:vAlign w:val="bottom"/>
          </w:tcPr>
          <w:p w14:paraId="754927AA" w14:textId="77777777" w:rsidR="00BC0F00" w:rsidRDefault="00BC0F00" w:rsidP="00E4014D">
            <w:pPr>
              <w:jc w:val="center"/>
              <w:rPr>
                <w:rFonts w:ascii="Microsoft Sans Serif" w:hAnsi="Microsoft Sans Serif" w:cs="Microsoft Sans Serif"/>
                <w:sz w:val="20"/>
                <w:szCs w:val="20"/>
              </w:rPr>
            </w:pPr>
            <w:r>
              <w:rPr>
                <w:rFonts w:ascii="Microsoft Sans Serif" w:hAnsi="Microsoft Sans Serif" w:cs="Microsoft Sans Serif"/>
                <w:sz w:val="20"/>
                <w:szCs w:val="20"/>
              </w:rPr>
              <w:t>16.2%</w:t>
            </w:r>
          </w:p>
        </w:tc>
        <w:tc>
          <w:tcPr>
            <w:tcW w:w="635" w:type="pct"/>
            <w:tcBorders>
              <w:top w:val="single" w:sz="4" w:space="0" w:color="auto"/>
              <w:bottom w:val="single" w:sz="4" w:space="0" w:color="auto"/>
            </w:tcBorders>
            <w:noWrap/>
            <w:vAlign w:val="bottom"/>
          </w:tcPr>
          <w:p w14:paraId="1283A9C2" w14:textId="77777777" w:rsidR="00BC0F00" w:rsidRDefault="00BC0F00" w:rsidP="00E4014D">
            <w:pPr>
              <w:jc w:val="center"/>
              <w:rPr>
                <w:rFonts w:ascii="Microsoft Sans Serif" w:hAnsi="Microsoft Sans Serif" w:cs="Microsoft Sans Serif"/>
                <w:sz w:val="20"/>
                <w:szCs w:val="20"/>
              </w:rPr>
            </w:pPr>
            <w:r>
              <w:rPr>
                <w:rFonts w:ascii="Microsoft Sans Serif" w:hAnsi="Microsoft Sans Serif" w:cs="Microsoft Sans Serif"/>
                <w:sz w:val="20"/>
                <w:szCs w:val="20"/>
              </w:rPr>
              <w:t>41.3%</w:t>
            </w:r>
          </w:p>
        </w:tc>
        <w:tc>
          <w:tcPr>
            <w:tcW w:w="765" w:type="pct"/>
            <w:tcBorders>
              <w:top w:val="single" w:sz="4" w:space="0" w:color="auto"/>
              <w:bottom w:val="single" w:sz="4" w:space="0" w:color="auto"/>
            </w:tcBorders>
            <w:noWrap/>
            <w:vAlign w:val="bottom"/>
          </w:tcPr>
          <w:p w14:paraId="60143AD6" w14:textId="77777777" w:rsidR="00BC0F00" w:rsidRDefault="00BC0F00" w:rsidP="00E4014D">
            <w:pPr>
              <w:jc w:val="center"/>
              <w:rPr>
                <w:rFonts w:ascii="Microsoft Sans Serif" w:hAnsi="Microsoft Sans Serif" w:cs="Microsoft Sans Serif"/>
                <w:sz w:val="20"/>
                <w:szCs w:val="20"/>
              </w:rPr>
            </w:pPr>
            <w:r>
              <w:rPr>
                <w:rFonts w:ascii="Microsoft Sans Serif" w:hAnsi="Microsoft Sans Serif" w:cs="Microsoft Sans Serif"/>
                <w:sz w:val="20"/>
                <w:szCs w:val="20"/>
              </w:rPr>
              <w:t>26.9%</w:t>
            </w:r>
          </w:p>
        </w:tc>
        <w:tc>
          <w:tcPr>
            <w:tcW w:w="636" w:type="pct"/>
            <w:gridSpan w:val="2"/>
            <w:tcBorders>
              <w:top w:val="single" w:sz="4" w:space="0" w:color="auto"/>
              <w:bottom w:val="single" w:sz="4" w:space="0" w:color="auto"/>
            </w:tcBorders>
            <w:noWrap/>
            <w:vAlign w:val="bottom"/>
          </w:tcPr>
          <w:p w14:paraId="032208E6" w14:textId="77777777" w:rsidR="00BC0F00" w:rsidRDefault="00BC0F00" w:rsidP="00E4014D">
            <w:pPr>
              <w:jc w:val="center"/>
              <w:rPr>
                <w:rFonts w:ascii="Microsoft Sans Serif" w:hAnsi="Microsoft Sans Serif" w:cs="Microsoft Sans Serif"/>
                <w:sz w:val="20"/>
                <w:szCs w:val="20"/>
              </w:rPr>
            </w:pPr>
            <w:r>
              <w:rPr>
                <w:rFonts w:ascii="Microsoft Sans Serif" w:hAnsi="Microsoft Sans Serif" w:cs="Microsoft Sans Serif"/>
                <w:sz w:val="20"/>
                <w:szCs w:val="20"/>
              </w:rPr>
              <w:t>10.8%</w:t>
            </w:r>
          </w:p>
        </w:tc>
        <w:tc>
          <w:tcPr>
            <w:tcW w:w="636" w:type="pct"/>
            <w:tcBorders>
              <w:top w:val="single" w:sz="4" w:space="0" w:color="auto"/>
              <w:bottom w:val="single" w:sz="4" w:space="0" w:color="auto"/>
            </w:tcBorders>
            <w:noWrap/>
            <w:vAlign w:val="bottom"/>
          </w:tcPr>
          <w:p w14:paraId="4BBC1B46" w14:textId="77777777" w:rsidR="00BC0F00" w:rsidRDefault="00BC0F00" w:rsidP="00E4014D">
            <w:pPr>
              <w:jc w:val="center"/>
              <w:rPr>
                <w:rFonts w:ascii="Microsoft Sans Serif" w:hAnsi="Microsoft Sans Serif" w:cs="Microsoft Sans Serif"/>
                <w:sz w:val="20"/>
                <w:szCs w:val="20"/>
              </w:rPr>
            </w:pPr>
            <w:r>
              <w:rPr>
                <w:rFonts w:ascii="Microsoft Sans Serif" w:hAnsi="Microsoft Sans Serif" w:cs="Microsoft Sans Serif"/>
                <w:sz w:val="20"/>
                <w:szCs w:val="20"/>
              </w:rPr>
              <w:t>4.8%</w:t>
            </w:r>
          </w:p>
        </w:tc>
      </w:tr>
      <w:tr w:rsidR="00BC0F00" w:rsidRPr="009A43E4" w14:paraId="66F6A9B5" w14:textId="77777777">
        <w:trPr>
          <w:trHeight w:val="510"/>
        </w:trPr>
        <w:tc>
          <w:tcPr>
            <w:tcW w:w="1693" w:type="pct"/>
            <w:tcBorders>
              <w:top w:val="single" w:sz="4" w:space="0" w:color="auto"/>
              <w:bottom w:val="single" w:sz="4" w:space="0" w:color="auto"/>
            </w:tcBorders>
          </w:tcPr>
          <w:p w14:paraId="63C5FD21" w14:textId="77777777" w:rsidR="00BC0F00" w:rsidRPr="009A43E4" w:rsidRDefault="00BC0F00" w:rsidP="00817F23">
            <w:pPr>
              <w:rPr>
                <w:rFonts w:ascii="Microsoft Sans Serif" w:eastAsia="Times New Roman" w:hAnsi="Microsoft Sans Serif" w:cs="Microsoft Sans Serif"/>
                <w:sz w:val="20"/>
                <w:szCs w:val="20"/>
                <w:lang w:val="en-CA" w:eastAsia="en-CA"/>
              </w:rPr>
            </w:pPr>
            <w:r w:rsidRPr="009A43E4">
              <w:rPr>
                <w:rFonts w:ascii="Microsoft Sans Serif" w:eastAsia="Times New Roman" w:hAnsi="Microsoft Sans Serif" w:cs="Microsoft Sans Serif"/>
                <w:sz w:val="20"/>
                <w:szCs w:val="20"/>
                <w:lang w:val="en-CA" w:eastAsia="en-CA"/>
              </w:rPr>
              <w:t>Seek informal advice from members of these institutions</w:t>
            </w:r>
          </w:p>
        </w:tc>
        <w:tc>
          <w:tcPr>
            <w:tcW w:w="635" w:type="pct"/>
            <w:tcBorders>
              <w:top w:val="single" w:sz="4" w:space="0" w:color="auto"/>
              <w:bottom w:val="single" w:sz="4" w:space="0" w:color="auto"/>
            </w:tcBorders>
            <w:noWrap/>
            <w:vAlign w:val="bottom"/>
          </w:tcPr>
          <w:p w14:paraId="3D8CC95C" w14:textId="77777777" w:rsidR="00BC0F00" w:rsidRDefault="00BC0F00" w:rsidP="00E4014D">
            <w:pPr>
              <w:jc w:val="center"/>
              <w:rPr>
                <w:rFonts w:ascii="Microsoft Sans Serif" w:hAnsi="Microsoft Sans Serif" w:cs="Microsoft Sans Serif"/>
                <w:sz w:val="20"/>
                <w:szCs w:val="20"/>
              </w:rPr>
            </w:pPr>
            <w:r>
              <w:rPr>
                <w:rFonts w:ascii="Microsoft Sans Serif" w:hAnsi="Microsoft Sans Serif" w:cs="Microsoft Sans Serif"/>
                <w:sz w:val="20"/>
                <w:szCs w:val="20"/>
              </w:rPr>
              <w:t>6.5%</w:t>
            </w:r>
          </w:p>
        </w:tc>
        <w:tc>
          <w:tcPr>
            <w:tcW w:w="635" w:type="pct"/>
            <w:tcBorders>
              <w:top w:val="single" w:sz="4" w:space="0" w:color="auto"/>
              <w:bottom w:val="single" w:sz="4" w:space="0" w:color="auto"/>
            </w:tcBorders>
            <w:noWrap/>
            <w:vAlign w:val="bottom"/>
          </w:tcPr>
          <w:p w14:paraId="5D159740" w14:textId="77777777" w:rsidR="00BC0F00" w:rsidRDefault="00BC0F00" w:rsidP="00E4014D">
            <w:pPr>
              <w:jc w:val="center"/>
              <w:rPr>
                <w:rFonts w:ascii="Microsoft Sans Serif" w:hAnsi="Microsoft Sans Serif" w:cs="Microsoft Sans Serif"/>
                <w:sz w:val="20"/>
                <w:szCs w:val="20"/>
              </w:rPr>
            </w:pPr>
            <w:r>
              <w:rPr>
                <w:rFonts w:ascii="Microsoft Sans Serif" w:hAnsi="Microsoft Sans Serif" w:cs="Microsoft Sans Serif"/>
                <w:sz w:val="20"/>
                <w:szCs w:val="20"/>
              </w:rPr>
              <w:t>29.8%</w:t>
            </w:r>
          </w:p>
        </w:tc>
        <w:tc>
          <w:tcPr>
            <w:tcW w:w="765" w:type="pct"/>
            <w:tcBorders>
              <w:top w:val="single" w:sz="4" w:space="0" w:color="auto"/>
              <w:bottom w:val="single" w:sz="4" w:space="0" w:color="auto"/>
            </w:tcBorders>
            <w:noWrap/>
            <w:vAlign w:val="bottom"/>
          </w:tcPr>
          <w:p w14:paraId="2058615F" w14:textId="77777777" w:rsidR="00BC0F00" w:rsidRDefault="00BC0F00" w:rsidP="00E4014D">
            <w:pPr>
              <w:jc w:val="center"/>
              <w:rPr>
                <w:rFonts w:ascii="Microsoft Sans Serif" w:hAnsi="Microsoft Sans Serif" w:cs="Microsoft Sans Serif"/>
                <w:sz w:val="20"/>
                <w:szCs w:val="20"/>
              </w:rPr>
            </w:pPr>
            <w:r>
              <w:rPr>
                <w:rFonts w:ascii="Microsoft Sans Serif" w:hAnsi="Microsoft Sans Serif" w:cs="Microsoft Sans Serif"/>
                <w:sz w:val="20"/>
                <w:szCs w:val="20"/>
              </w:rPr>
              <w:t>30.4%</w:t>
            </w:r>
          </w:p>
        </w:tc>
        <w:tc>
          <w:tcPr>
            <w:tcW w:w="636" w:type="pct"/>
            <w:gridSpan w:val="2"/>
            <w:tcBorders>
              <w:top w:val="single" w:sz="4" w:space="0" w:color="auto"/>
              <w:bottom w:val="single" w:sz="4" w:space="0" w:color="auto"/>
            </w:tcBorders>
            <w:noWrap/>
            <w:vAlign w:val="bottom"/>
          </w:tcPr>
          <w:p w14:paraId="799C3B4C" w14:textId="77777777" w:rsidR="00BC0F00" w:rsidRDefault="00BC0F00" w:rsidP="00E4014D">
            <w:pPr>
              <w:jc w:val="center"/>
              <w:rPr>
                <w:rFonts w:ascii="Microsoft Sans Serif" w:hAnsi="Microsoft Sans Serif" w:cs="Microsoft Sans Serif"/>
                <w:sz w:val="20"/>
                <w:szCs w:val="20"/>
              </w:rPr>
            </w:pPr>
            <w:r>
              <w:rPr>
                <w:rFonts w:ascii="Microsoft Sans Serif" w:hAnsi="Microsoft Sans Serif" w:cs="Microsoft Sans Serif"/>
                <w:sz w:val="20"/>
                <w:szCs w:val="20"/>
              </w:rPr>
              <w:t>23.2%</w:t>
            </w:r>
          </w:p>
        </w:tc>
        <w:tc>
          <w:tcPr>
            <w:tcW w:w="636" w:type="pct"/>
            <w:tcBorders>
              <w:top w:val="single" w:sz="4" w:space="0" w:color="auto"/>
              <w:bottom w:val="single" w:sz="4" w:space="0" w:color="auto"/>
            </w:tcBorders>
            <w:noWrap/>
            <w:vAlign w:val="bottom"/>
          </w:tcPr>
          <w:p w14:paraId="799BBEE1" w14:textId="77777777" w:rsidR="00BC0F00" w:rsidRDefault="00BC0F00" w:rsidP="00E4014D">
            <w:pPr>
              <w:jc w:val="center"/>
              <w:rPr>
                <w:rFonts w:ascii="Microsoft Sans Serif" w:hAnsi="Microsoft Sans Serif" w:cs="Microsoft Sans Serif"/>
                <w:sz w:val="20"/>
                <w:szCs w:val="20"/>
              </w:rPr>
            </w:pPr>
            <w:r>
              <w:rPr>
                <w:rFonts w:ascii="Microsoft Sans Serif" w:hAnsi="Microsoft Sans Serif" w:cs="Microsoft Sans Serif"/>
                <w:sz w:val="20"/>
                <w:szCs w:val="20"/>
              </w:rPr>
              <w:t>10.1%</w:t>
            </w:r>
          </w:p>
        </w:tc>
      </w:tr>
      <w:tr w:rsidR="00BC0F00" w:rsidRPr="009A43E4" w14:paraId="446A3A2F" w14:textId="77777777">
        <w:trPr>
          <w:trHeight w:val="510"/>
        </w:trPr>
        <w:tc>
          <w:tcPr>
            <w:tcW w:w="1693" w:type="pct"/>
            <w:tcBorders>
              <w:top w:val="single" w:sz="4" w:space="0" w:color="auto"/>
              <w:bottom w:val="single" w:sz="4" w:space="0" w:color="auto"/>
            </w:tcBorders>
          </w:tcPr>
          <w:p w14:paraId="1FD97B38" w14:textId="77777777" w:rsidR="00BC0F00" w:rsidRPr="009A43E4" w:rsidRDefault="00BC0F00" w:rsidP="00817F23">
            <w:pPr>
              <w:rPr>
                <w:rFonts w:ascii="Microsoft Sans Serif" w:eastAsia="Times New Roman" w:hAnsi="Microsoft Sans Serif" w:cs="Microsoft Sans Serif"/>
                <w:sz w:val="20"/>
                <w:szCs w:val="20"/>
                <w:lang w:val="en-CA" w:eastAsia="en-CA"/>
              </w:rPr>
            </w:pPr>
            <w:r w:rsidRPr="009A43E4">
              <w:rPr>
                <w:rFonts w:ascii="Microsoft Sans Serif" w:eastAsia="Times New Roman" w:hAnsi="Microsoft Sans Serif" w:cs="Microsoft Sans Serif"/>
                <w:sz w:val="20"/>
                <w:szCs w:val="20"/>
                <w:lang w:val="en-CA" w:eastAsia="en-CA"/>
              </w:rPr>
              <w:t>Participate in a network with members of research institutions</w:t>
            </w:r>
          </w:p>
        </w:tc>
        <w:tc>
          <w:tcPr>
            <w:tcW w:w="635" w:type="pct"/>
            <w:tcBorders>
              <w:top w:val="single" w:sz="4" w:space="0" w:color="auto"/>
              <w:bottom w:val="single" w:sz="4" w:space="0" w:color="auto"/>
            </w:tcBorders>
            <w:noWrap/>
            <w:vAlign w:val="bottom"/>
          </w:tcPr>
          <w:p w14:paraId="7558CD7C" w14:textId="77777777" w:rsidR="00BC0F00" w:rsidRDefault="00BC0F00" w:rsidP="00E4014D">
            <w:pPr>
              <w:jc w:val="center"/>
              <w:rPr>
                <w:rFonts w:ascii="Microsoft Sans Serif" w:hAnsi="Microsoft Sans Serif" w:cs="Microsoft Sans Serif"/>
                <w:sz w:val="20"/>
                <w:szCs w:val="20"/>
              </w:rPr>
            </w:pPr>
            <w:r>
              <w:rPr>
                <w:rFonts w:ascii="Microsoft Sans Serif" w:hAnsi="Microsoft Sans Serif" w:cs="Microsoft Sans Serif"/>
                <w:sz w:val="20"/>
                <w:szCs w:val="20"/>
              </w:rPr>
              <w:t>11.4%</w:t>
            </w:r>
          </w:p>
        </w:tc>
        <w:tc>
          <w:tcPr>
            <w:tcW w:w="635" w:type="pct"/>
            <w:tcBorders>
              <w:top w:val="single" w:sz="4" w:space="0" w:color="auto"/>
              <w:bottom w:val="single" w:sz="4" w:space="0" w:color="auto"/>
            </w:tcBorders>
            <w:noWrap/>
            <w:vAlign w:val="bottom"/>
          </w:tcPr>
          <w:p w14:paraId="6AD00C73" w14:textId="77777777" w:rsidR="00BC0F00" w:rsidRDefault="00BC0F00" w:rsidP="00E4014D">
            <w:pPr>
              <w:jc w:val="center"/>
              <w:rPr>
                <w:rFonts w:ascii="Microsoft Sans Serif" w:hAnsi="Microsoft Sans Serif" w:cs="Microsoft Sans Serif"/>
                <w:sz w:val="20"/>
                <w:szCs w:val="20"/>
              </w:rPr>
            </w:pPr>
            <w:r>
              <w:rPr>
                <w:rFonts w:ascii="Microsoft Sans Serif" w:hAnsi="Microsoft Sans Serif" w:cs="Microsoft Sans Serif"/>
                <w:sz w:val="20"/>
                <w:szCs w:val="20"/>
              </w:rPr>
              <w:t>32.9%</w:t>
            </w:r>
          </w:p>
        </w:tc>
        <w:tc>
          <w:tcPr>
            <w:tcW w:w="765" w:type="pct"/>
            <w:tcBorders>
              <w:top w:val="single" w:sz="4" w:space="0" w:color="auto"/>
              <w:bottom w:val="single" w:sz="4" w:space="0" w:color="auto"/>
            </w:tcBorders>
            <w:noWrap/>
            <w:vAlign w:val="bottom"/>
          </w:tcPr>
          <w:p w14:paraId="4A7A821A" w14:textId="77777777" w:rsidR="00BC0F00" w:rsidRDefault="00BC0F00" w:rsidP="00E4014D">
            <w:pPr>
              <w:jc w:val="center"/>
              <w:rPr>
                <w:rFonts w:ascii="Microsoft Sans Serif" w:hAnsi="Microsoft Sans Serif" w:cs="Microsoft Sans Serif"/>
                <w:sz w:val="20"/>
                <w:szCs w:val="20"/>
              </w:rPr>
            </w:pPr>
            <w:r>
              <w:rPr>
                <w:rFonts w:ascii="Microsoft Sans Serif" w:hAnsi="Microsoft Sans Serif" w:cs="Microsoft Sans Serif"/>
                <w:sz w:val="20"/>
                <w:szCs w:val="20"/>
              </w:rPr>
              <w:t>28.7%</w:t>
            </w:r>
          </w:p>
        </w:tc>
        <w:tc>
          <w:tcPr>
            <w:tcW w:w="636" w:type="pct"/>
            <w:gridSpan w:val="2"/>
            <w:tcBorders>
              <w:top w:val="single" w:sz="4" w:space="0" w:color="auto"/>
              <w:bottom w:val="single" w:sz="4" w:space="0" w:color="auto"/>
            </w:tcBorders>
            <w:noWrap/>
            <w:vAlign w:val="bottom"/>
          </w:tcPr>
          <w:p w14:paraId="58DDEFB1" w14:textId="77777777" w:rsidR="00BC0F00" w:rsidRDefault="00BC0F00" w:rsidP="00E4014D">
            <w:pPr>
              <w:jc w:val="center"/>
              <w:rPr>
                <w:rFonts w:ascii="Microsoft Sans Serif" w:hAnsi="Microsoft Sans Serif" w:cs="Microsoft Sans Serif"/>
                <w:sz w:val="20"/>
                <w:szCs w:val="20"/>
              </w:rPr>
            </w:pPr>
            <w:r>
              <w:rPr>
                <w:rFonts w:ascii="Microsoft Sans Serif" w:hAnsi="Microsoft Sans Serif" w:cs="Microsoft Sans Serif"/>
                <w:sz w:val="20"/>
                <w:szCs w:val="20"/>
              </w:rPr>
              <w:t>15.6%</w:t>
            </w:r>
          </w:p>
        </w:tc>
        <w:tc>
          <w:tcPr>
            <w:tcW w:w="636" w:type="pct"/>
            <w:tcBorders>
              <w:top w:val="single" w:sz="4" w:space="0" w:color="auto"/>
              <w:bottom w:val="single" w:sz="4" w:space="0" w:color="auto"/>
            </w:tcBorders>
            <w:noWrap/>
            <w:vAlign w:val="bottom"/>
          </w:tcPr>
          <w:p w14:paraId="554147BE" w14:textId="77777777" w:rsidR="00BC0F00" w:rsidRDefault="00BC0F00" w:rsidP="00E4014D">
            <w:pPr>
              <w:jc w:val="center"/>
              <w:rPr>
                <w:rFonts w:ascii="Microsoft Sans Serif" w:hAnsi="Microsoft Sans Serif" w:cs="Microsoft Sans Serif"/>
                <w:sz w:val="20"/>
                <w:szCs w:val="20"/>
              </w:rPr>
            </w:pPr>
            <w:r>
              <w:rPr>
                <w:rFonts w:ascii="Microsoft Sans Serif" w:hAnsi="Microsoft Sans Serif" w:cs="Microsoft Sans Serif"/>
                <w:sz w:val="20"/>
                <w:szCs w:val="20"/>
              </w:rPr>
              <w:t>11.4%</w:t>
            </w:r>
          </w:p>
        </w:tc>
      </w:tr>
      <w:tr w:rsidR="00BC0F00" w:rsidRPr="009A43E4" w14:paraId="4CC7925C" w14:textId="77777777">
        <w:trPr>
          <w:trHeight w:val="510"/>
        </w:trPr>
        <w:tc>
          <w:tcPr>
            <w:tcW w:w="1693" w:type="pct"/>
            <w:tcBorders>
              <w:top w:val="single" w:sz="4" w:space="0" w:color="auto"/>
              <w:bottom w:val="single" w:sz="4" w:space="0" w:color="auto"/>
            </w:tcBorders>
          </w:tcPr>
          <w:p w14:paraId="3A470813" w14:textId="77777777" w:rsidR="00BC0F00" w:rsidRPr="009A43E4" w:rsidRDefault="00BC0F00" w:rsidP="00817F23">
            <w:pPr>
              <w:rPr>
                <w:rFonts w:ascii="Microsoft Sans Serif" w:eastAsia="Times New Roman" w:hAnsi="Microsoft Sans Serif" w:cs="Microsoft Sans Serif"/>
                <w:sz w:val="20"/>
                <w:szCs w:val="20"/>
                <w:lang w:val="en-CA" w:eastAsia="en-CA"/>
              </w:rPr>
            </w:pPr>
            <w:r w:rsidRPr="009A43E4">
              <w:rPr>
                <w:rFonts w:ascii="Microsoft Sans Serif" w:eastAsia="Times New Roman" w:hAnsi="Microsoft Sans Serif" w:cs="Microsoft Sans Serif"/>
                <w:sz w:val="20"/>
                <w:szCs w:val="20"/>
                <w:lang w:val="en-CA" w:eastAsia="en-CA"/>
              </w:rPr>
              <w:t>Sit on a panel, roundtable, etc. with members of research institutions</w:t>
            </w:r>
          </w:p>
        </w:tc>
        <w:tc>
          <w:tcPr>
            <w:tcW w:w="635" w:type="pct"/>
            <w:tcBorders>
              <w:top w:val="single" w:sz="4" w:space="0" w:color="auto"/>
              <w:bottom w:val="single" w:sz="4" w:space="0" w:color="auto"/>
            </w:tcBorders>
            <w:noWrap/>
            <w:vAlign w:val="bottom"/>
          </w:tcPr>
          <w:p w14:paraId="520D8310" w14:textId="77777777" w:rsidR="00BC0F00" w:rsidRDefault="00BC0F00" w:rsidP="00E4014D">
            <w:pPr>
              <w:jc w:val="center"/>
              <w:rPr>
                <w:rFonts w:ascii="Microsoft Sans Serif" w:hAnsi="Microsoft Sans Serif" w:cs="Microsoft Sans Serif"/>
                <w:sz w:val="20"/>
                <w:szCs w:val="20"/>
              </w:rPr>
            </w:pPr>
            <w:r>
              <w:rPr>
                <w:rFonts w:ascii="Microsoft Sans Serif" w:hAnsi="Microsoft Sans Serif" w:cs="Microsoft Sans Serif"/>
                <w:sz w:val="20"/>
                <w:szCs w:val="20"/>
              </w:rPr>
              <w:t>17.9%</w:t>
            </w:r>
          </w:p>
        </w:tc>
        <w:tc>
          <w:tcPr>
            <w:tcW w:w="635" w:type="pct"/>
            <w:tcBorders>
              <w:top w:val="single" w:sz="4" w:space="0" w:color="auto"/>
              <w:bottom w:val="single" w:sz="4" w:space="0" w:color="auto"/>
            </w:tcBorders>
            <w:noWrap/>
            <w:vAlign w:val="bottom"/>
          </w:tcPr>
          <w:p w14:paraId="6B69E58F" w14:textId="77777777" w:rsidR="00BC0F00" w:rsidRDefault="00BC0F00" w:rsidP="00E4014D">
            <w:pPr>
              <w:jc w:val="center"/>
              <w:rPr>
                <w:rFonts w:ascii="Microsoft Sans Serif" w:hAnsi="Microsoft Sans Serif" w:cs="Microsoft Sans Serif"/>
                <w:sz w:val="20"/>
                <w:szCs w:val="20"/>
              </w:rPr>
            </w:pPr>
            <w:r>
              <w:rPr>
                <w:rFonts w:ascii="Microsoft Sans Serif" w:hAnsi="Microsoft Sans Serif" w:cs="Microsoft Sans Serif"/>
                <w:sz w:val="20"/>
                <w:szCs w:val="20"/>
              </w:rPr>
              <w:t>31.5%</w:t>
            </w:r>
          </w:p>
        </w:tc>
        <w:tc>
          <w:tcPr>
            <w:tcW w:w="765" w:type="pct"/>
            <w:tcBorders>
              <w:top w:val="single" w:sz="4" w:space="0" w:color="auto"/>
              <w:bottom w:val="single" w:sz="4" w:space="0" w:color="auto"/>
            </w:tcBorders>
            <w:noWrap/>
            <w:vAlign w:val="bottom"/>
          </w:tcPr>
          <w:p w14:paraId="58989C9A" w14:textId="77777777" w:rsidR="00BC0F00" w:rsidRDefault="00BC0F00" w:rsidP="00E4014D">
            <w:pPr>
              <w:jc w:val="center"/>
              <w:rPr>
                <w:rFonts w:ascii="Microsoft Sans Serif" w:hAnsi="Microsoft Sans Serif" w:cs="Microsoft Sans Serif"/>
                <w:sz w:val="20"/>
                <w:szCs w:val="20"/>
              </w:rPr>
            </w:pPr>
            <w:r>
              <w:rPr>
                <w:rFonts w:ascii="Microsoft Sans Serif" w:hAnsi="Microsoft Sans Serif" w:cs="Microsoft Sans Serif"/>
                <w:sz w:val="20"/>
                <w:szCs w:val="20"/>
              </w:rPr>
              <w:t>29.8%</w:t>
            </w:r>
          </w:p>
        </w:tc>
        <w:tc>
          <w:tcPr>
            <w:tcW w:w="636" w:type="pct"/>
            <w:gridSpan w:val="2"/>
            <w:tcBorders>
              <w:top w:val="single" w:sz="4" w:space="0" w:color="auto"/>
              <w:bottom w:val="single" w:sz="4" w:space="0" w:color="auto"/>
            </w:tcBorders>
            <w:noWrap/>
            <w:vAlign w:val="bottom"/>
          </w:tcPr>
          <w:p w14:paraId="71BCB14F" w14:textId="77777777" w:rsidR="00BC0F00" w:rsidRDefault="00BC0F00" w:rsidP="00E4014D">
            <w:pPr>
              <w:jc w:val="center"/>
              <w:rPr>
                <w:rFonts w:ascii="Microsoft Sans Serif" w:hAnsi="Microsoft Sans Serif" w:cs="Microsoft Sans Serif"/>
                <w:sz w:val="20"/>
                <w:szCs w:val="20"/>
              </w:rPr>
            </w:pPr>
            <w:r>
              <w:rPr>
                <w:rFonts w:ascii="Microsoft Sans Serif" w:hAnsi="Microsoft Sans Serif" w:cs="Microsoft Sans Serif"/>
                <w:sz w:val="20"/>
                <w:szCs w:val="20"/>
              </w:rPr>
              <w:t>14.3%</w:t>
            </w:r>
          </w:p>
        </w:tc>
        <w:tc>
          <w:tcPr>
            <w:tcW w:w="636" w:type="pct"/>
            <w:tcBorders>
              <w:top w:val="single" w:sz="4" w:space="0" w:color="auto"/>
              <w:bottom w:val="single" w:sz="4" w:space="0" w:color="auto"/>
            </w:tcBorders>
            <w:noWrap/>
            <w:vAlign w:val="bottom"/>
          </w:tcPr>
          <w:p w14:paraId="6EEB1D15" w14:textId="77777777" w:rsidR="00BC0F00" w:rsidRDefault="00BC0F00" w:rsidP="00E4014D">
            <w:pPr>
              <w:jc w:val="center"/>
              <w:rPr>
                <w:rFonts w:ascii="Microsoft Sans Serif" w:hAnsi="Microsoft Sans Serif" w:cs="Microsoft Sans Serif"/>
                <w:sz w:val="20"/>
                <w:szCs w:val="20"/>
              </w:rPr>
            </w:pPr>
            <w:r>
              <w:rPr>
                <w:rFonts w:ascii="Microsoft Sans Serif" w:hAnsi="Microsoft Sans Serif" w:cs="Microsoft Sans Serif"/>
                <w:sz w:val="20"/>
                <w:szCs w:val="20"/>
              </w:rPr>
              <w:t>6.5%</w:t>
            </w:r>
          </w:p>
        </w:tc>
      </w:tr>
      <w:tr w:rsidR="00BC0F00" w:rsidRPr="009A43E4" w14:paraId="4E280B59" w14:textId="77777777">
        <w:trPr>
          <w:trHeight w:val="510"/>
        </w:trPr>
        <w:tc>
          <w:tcPr>
            <w:tcW w:w="1693" w:type="pct"/>
            <w:tcBorders>
              <w:top w:val="single" w:sz="4" w:space="0" w:color="auto"/>
            </w:tcBorders>
          </w:tcPr>
          <w:p w14:paraId="1F46A446" w14:textId="77777777" w:rsidR="00BC0F00" w:rsidRPr="009A43E4" w:rsidRDefault="00BC0F00" w:rsidP="00817F23">
            <w:pPr>
              <w:rPr>
                <w:rFonts w:ascii="Microsoft Sans Serif" w:eastAsia="Times New Roman" w:hAnsi="Microsoft Sans Serif" w:cs="Microsoft Sans Serif"/>
                <w:sz w:val="20"/>
                <w:szCs w:val="20"/>
                <w:lang w:val="en-CA" w:eastAsia="en-CA"/>
              </w:rPr>
            </w:pPr>
            <w:r w:rsidRPr="009A43E4">
              <w:rPr>
                <w:rFonts w:ascii="Microsoft Sans Serif" w:eastAsia="Times New Roman" w:hAnsi="Microsoft Sans Serif" w:cs="Microsoft Sans Serif"/>
                <w:sz w:val="20"/>
                <w:szCs w:val="20"/>
                <w:lang w:val="en-CA" w:eastAsia="en-CA"/>
              </w:rPr>
              <w:t>Second personnel to (or from) an academic or research institution</w:t>
            </w:r>
          </w:p>
        </w:tc>
        <w:tc>
          <w:tcPr>
            <w:tcW w:w="635" w:type="pct"/>
            <w:tcBorders>
              <w:top w:val="single" w:sz="4" w:space="0" w:color="auto"/>
            </w:tcBorders>
            <w:noWrap/>
            <w:vAlign w:val="bottom"/>
          </w:tcPr>
          <w:p w14:paraId="7418C487" w14:textId="77777777" w:rsidR="00BC0F00" w:rsidRDefault="00BC0F00" w:rsidP="00E4014D">
            <w:pPr>
              <w:jc w:val="center"/>
              <w:rPr>
                <w:rFonts w:ascii="Microsoft Sans Serif" w:hAnsi="Microsoft Sans Serif" w:cs="Microsoft Sans Serif"/>
                <w:sz w:val="20"/>
                <w:szCs w:val="20"/>
              </w:rPr>
            </w:pPr>
            <w:r>
              <w:rPr>
                <w:rFonts w:ascii="Microsoft Sans Serif" w:hAnsi="Microsoft Sans Serif" w:cs="Microsoft Sans Serif"/>
                <w:sz w:val="20"/>
                <w:szCs w:val="20"/>
              </w:rPr>
              <w:t>39.3%</w:t>
            </w:r>
          </w:p>
        </w:tc>
        <w:tc>
          <w:tcPr>
            <w:tcW w:w="635" w:type="pct"/>
            <w:tcBorders>
              <w:top w:val="single" w:sz="4" w:space="0" w:color="auto"/>
            </w:tcBorders>
            <w:noWrap/>
            <w:vAlign w:val="bottom"/>
          </w:tcPr>
          <w:p w14:paraId="75386A99" w14:textId="77777777" w:rsidR="00BC0F00" w:rsidRDefault="00BC0F00" w:rsidP="00E4014D">
            <w:pPr>
              <w:jc w:val="center"/>
              <w:rPr>
                <w:rFonts w:ascii="Microsoft Sans Serif" w:hAnsi="Microsoft Sans Serif" w:cs="Microsoft Sans Serif"/>
                <w:sz w:val="20"/>
                <w:szCs w:val="20"/>
              </w:rPr>
            </w:pPr>
            <w:r>
              <w:rPr>
                <w:rFonts w:ascii="Microsoft Sans Serif" w:hAnsi="Microsoft Sans Serif" w:cs="Microsoft Sans Serif"/>
                <w:sz w:val="20"/>
                <w:szCs w:val="20"/>
              </w:rPr>
              <w:t>34.5%</w:t>
            </w:r>
          </w:p>
        </w:tc>
        <w:tc>
          <w:tcPr>
            <w:tcW w:w="765" w:type="pct"/>
            <w:tcBorders>
              <w:top w:val="single" w:sz="4" w:space="0" w:color="auto"/>
            </w:tcBorders>
            <w:noWrap/>
            <w:vAlign w:val="bottom"/>
          </w:tcPr>
          <w:p w14:paraId="105E5DA8" w14:textId="77777777" w:rsidR="00BC0F00" w:rsidRDefault="00BC0F00" w:rsidP="00E4014D">
            <w:pPr>
              <w:jc w:val="center"/>
              <w:rPr>
                <w:rFonts w:ascii="Microsoft Sans Serif" w:hAnsi="Microsoft Sans Serif" w:cs="Microsoft Sans Serif"/>
                <w:sz w:val="20"/>
                <w:szCs w:val="20"/>
              </w:rPr>
            </w:pPr>
            <w:r>
              <w:rPr>
                <w:rFonts w:ascii="Microsoft Sans Serif" w:hAnsi="Microsoft Sans Serif" w:cs="Microsoft Sans Serif"/>
                <w:sz w:val="20"/>
                <w:szCs w:val="20"/>
              </w:rPr>
              <w:t>18.5%</w:t>
            </w:r>
          </w:p>
        </w:tc>
        <w:tc>
          <w:tcPr>
            <w:tcW w:w="636" w:type="pct"/>
            <w:gridSpan w:val="2"/>
            <w:tcBorders>
              <w:top w:val="single" w:sz="4" w:space="0" w:color="auto"/>
            </w:tcBorders>
            <w:noWrap/>
            <w:vAlign w:val="bottom"/>
          </w:tcPr>
          <w:p w14:paraId="0F3BA311" w14:textId="77777777" w:rsidR="00BC0F00" w:rsidRDefault="00BC0F00" w:rsidP="00E4014D">
            <w:pPr>
              <w:jc w:val="center"/>
              <w:rPr>
                <w:rFonts w:ascii="Microsoft Sans Serif" w:hAnsi="Microsoft Sans Serif" w:cs="Microsoft Sans Serif"/>
                <w:sz w:val="20"/>
                <w:szCs w:val="20"/>
              </w:rPr>
            </w:pPr>
            <w:r>
              <w:rPr>
                <w:rFonts w:ascii="Microsoft Sans Serif" w:hAnsi="Microsoft Sans Serif" w:cs="Microsoft Sans Serif"/>
                <w:sz w:val="20"/>
                <w:szCs w:val="20"/>
              </w:rPr>
              <w:t>4.2%</w:t>
            </w:r>
          </w:p>
        </w:tc>
        <w:tc>
          <w:tcPr>
            <w:tcW w:w="636" w:type="pct"/>
            <w:tcBorders>
              <w:top w:val="single" w:sz="4" w:space="0" w:color="auto"/>
            </w:tcBorders>
            <w:noWrap/>
            <w:vAlign w:val="bottom"/>
          </w:tcPr>
          <w:p w14:paraId="7DEB7D04" w14:textId="77777777" w:rsidR="00BC0F00" w:rsidRDefault="00BC0F00" w:rsidP="00E4014D">
            <w:pPr>
              <w:jc w:val="center"/>
              <w:rPr>
                <w:rFonts w:ascii="Microsoft Sans Serif" w:hAnsi="Microsoft Sans Serif" w:cs="Microsoft Sans Serif"/>
                <w:sz w:val="20"/>
                <w:szCs w:val="20"/>
              </w:rPr>
            </w:pPr>
            <w:r>
              <w:rPr>
                <w:rFonts w:ascii="Microsoft Sans Serif" w:hAnsi="Microsoft Sans Serif" w:cs="Microsoft Sans Serif"/>
                <w:sz w:val="20"/>
                <w:szCs w:val="20"/>
              </w:rPr>
              <w:t>3.6%</w:t>
            </w:r>
          </w:p>
        </w:tc>
      </w:tr>
    </w:tbl>
    <w:p w14:paraId="714829C6" w14:textId="77777777" w:rsidR="00817F23" w:rsidRPr="00135364" w:rsidRDefault="00817F23" w:rsidP="00817F23">
      <w:pPr>
        <w:spacing w:line="360" w:lineRule="auto"/>
      </w:pPr>
    </w:p>
    <w:p w14:paraId="787785F7" w14:textId="77777777" w:rsidR="00817F23" w:rsidRDefault="00817F23" w:rsidP="00327849">
      <w:pPr>
        <w:spacing w:line="360" w:lineRule="auto"/>
      </w:pPr>
    </w:p>
    <w:p w14:paraId="1C5B4A72" w14:textId="77777777" w:rsidR="003B60EF" w:rsidRDefault="003B60EF" w:rsidP="00327849">
      <w:pPr>
        <w:spacing w:line="360" w:lineRule="auto"/>
      </w:pPr>
    </w:p>
    <w:p w14:paraId="7543B8AC" w14:textId="77777777" w:rsidR="00817F23" w:rsidRDefault="00817F23" w:rsidP="00327849">
      <w:pPr>
        <w:spacing w:line="360" w:lineRule="auto"/>
        <w:sectPr w:rsidR="00817F23">
          <w:pgSz w:w="15840" w:h="12240" w:orient="landscape"/>
          <w:pgMar w:top="1797" w:right="1440" w:bottom="1797" w:left="1440" w:header="709" w:footer="709" w:gutter="0"/>
          <w:cols w:space="708"/>
        </w:sectPr>
      </w:pPr>
    </w:p>
    <w:p w14:paraId="4210A6B4" w14:textId="77777777" w:rsidR="003B60EF" w:rsidRDefault="00D14259" w:rsidP="00327849">
      <w:pPr>
        <w:spacing w:line="360" w:lineRule="auto"/>
      </w:pPr>
      <w:r>
        <w:lastRenderedPageBreak/>
        <w:t xml:space="preserve">With regard to differences between the two groups in key areas, we note </w:t>
      </w:r>
      <w:r w:rsidR="00A80CAC">
        <w:t>that</w:t>
      </w:r>
      <w:r>
        <w:t xml:space="preserve"> commissioning academic research is the second least common type of engagement for both groups</w:t>
      </w:r>
      <w:r w:rsidR="00DE1D25">
        <w:t xml:space="preserve"> after seconding personnel (a logical outcome). </w:t>
      </w:r>
      <w:r w:rsidR="002C5923">
        <w:t>However</w:t>
      </w:r>
      <w:r w:rsidR="00DE1D25">
        <w:t xml:space="preserve">, informal advice and participating in a network are </w:t>
      </w:r>
      <w:r w:rsidR="002C5923">
        <w:t xml:space="preserve">comparatively </w:t>
      </w:r>
      <w:r w:rsidR="00DE1D25">
        <w:t>very high. For executives, the most frequent activity (once again measured as the sum of the Often and Very Often responses) is participation in meeting</w:t>
      </w:r>
      <w:r w:rsidR="002C5923">
        <w:t>s</w:t>
      </w:r>
      <w:r w:rsidR="00DE1D25">
        <w:t xml:space="preserve"> that discuss academic research. </w:t>
      </w:r>
    </w:p>
    <w:p w14:paraId="13D829ED" w14:textId="77777777" w:rsidR="00D14259" w:rsidRDefault="00D14259" w:rsidP="00D14259">
      <w:pPr>
        <w:spacing w:line="360" w:lineRule="auto"/>
      </w:pPr>
    </w:p>
    <w:p w14:paraId="66CD171A" w14:textId="77777777" w:rsidR="00D14259" w:rsidRPr="00135364" w:rsidRDefault="00D14259" w:rsidP="00D14259">
      <w:pPr>
        <w:spacing w:line="360" w:lineRule="auto"/>
      </w:pPr>
      <w:r w:rsidRPr="00461CFA">
        <w:rPr>
          <w:i/>
        </w:rPr>
        <w:t xml:space="preserve">Table </w:t>
      </w:r>
      <w:r w:rsidR="001C5BC4">
        <w:rPr>
          <w:i/>
        </w:rPr>
        <w:t>7</w:t>
      </w:r>
      <w:r>
        <w:rPr>
          <w:i/>
        </w:rPr>
        <w:t>. Key Areas of Engagement – Differences between the two communities</w:t>
      </w:r>
    </w:p>
    <w:tbl>
      <w:tblPr>
        <w:tblStyle w:val="Tableausimple1"/>
        <w:tblW w:w="4920" w:type="pct"/>
        <w:tblLook w:val="04A0" w:firstRow="1" w:lastRow="0" w:firstColumn="1" w:lastColumn="0" w:noHBand="0" w:noVBand="1"/>
      </w:tblPr>
      <w:tblGrid>
        <w:gridCol w:w="3423"/>
        <w:gridCol w:w="1345"/>
        <w:gridCol w:w="1352"/>
        <w:gridCol w:w="1297"/>
        <w:gridCol w:w="1297"/>
      </w:tblGrid>
      <w:tr w:rsidR="00DE1D25" w:rsidRPr="00135364" w14:paraId="40867753" w14:textId="77777777">
        <w:trPr>
          <w:cnfStyle w:val="100000000000" w:firstRow="1" w:lastRow="0" w:firstColumn="0" w:lastColumn="0" w:oddVBand="0" w:evenVBand="0" w:oddHBand="0" w:evenHBand="0" w:firstRowFirstColumn="0" w:firstRowLastColumn="0" w:lastRowFirstColumn="0" w:lastRowLastColumn="0"/>
          <w:trHeight w:val="251"/>
        </w:trPr>
        <w:tc>
          <w:tcPr>
            <w:tcW w:w="1964" w:type="pct"/>
            <w:noWrap/>
          </w:tcPr>
          <w:p w14:paraId="64FC2E83" w14:textId="77777777" w:rsidR="00DE1D25" w:rsidRPr="00135364" w:rsidRDefault="00DE1D25" w:rsidP="00D14259">
            <w:pPr>
              <w:rPr>
                <w:rFonts w:ascii="Microsoft Sans Serif" w:eastAsia="Times New Roman" w:hAnsi="Microsoft Sans Serif" w:cs="Microsoft Sans Serif"/>
                <w:b/>
                <w:bCs/>
                <w:i/>
                <w:iCs/>
                <w:sz w:val="20"/>
                <w:szCs w:val="20"/>
                <w:lang w:val="en-CA" w:eastAsia="en-CA"/>
              </w:rPr>
            </w:pPr>
          </w:p>
        </w:tc>
        <w:tc>
          <w:tcPr>
            <w:tcW w:w="772" w:type="pct"/>
            <w:vAlign w:val="center"/>
          </w:tcPr>
          <w:p w14:paraId="39915146" w14:textId="77777777" w:rsidR="00DE1D25" w:rsidRPr="00724F47" w:rsidRDefault="00DE1D25" w:rsidP="00DE1D25">
            <w:pPr>
              <w:jc w:val="center"/>
              <w:rPr>
                <w:rFonts w:ascii="Microsoft Sans Serif" w:eastAsia="Times New Roman" w:hAnsi="Microsoft Sans Serif" w:cs="Microsoft Sans Serif"/>
                <w:b/>
                <w:bCs/>
                <w:sz w:val="16"/>
                <w:szCs w:val="16"/>
                <w:lang w:val="en-CA" w:eastAsia="en-CA"/>
              </w:rPr>
            </w:pPr>
            <w:r w:rsidRPr="00724F47">
              <w:rPr>
                <w:rFonts w:ascii="Microsoft Sans Serif" w:eastAsia="Times New Roman" w:hAnsi="Microsoft Sans Serif" w:cs="Microsoft Sans Serif"/>
                <w:b/>
                <w:bCs/>
                <w:sz w:val="16"/>
                <w:szCs w:val="16"/>
                <w:lang w:val="en-CA" w:eastAsia="en-CA"/>
              </w:rPr>
              <w:t>Academics</w:t>
            </w:r>
          </w:p>
        </w:tc>
        <w:tc>
          <w:tcPr>
            <w:tcW w:w="776" w:type="pct"/>
            <w:vAlign w:val="center"/>
          </w:tcPr>
          <w:p w14:paraId="16E7C3AC" w14:textId="77777777" w:rsidR="00DE1D25" w:rsidRPr="00724F47" w:rsidRDefault="00DE1D25" w:rsidP="00DE1D25">
            <w:pPr>
              <w:jc w:val="center"/>
              <w:rPr>
                <w:rFonts w:ascii="Microsoft Sans Serif" w:eastAsia="Times New Roman" w:hAnsi="Microsoft Sans Serif" w:cs="Microsoft Sans Serif"/>
                <w:b/>
                <w:bCs/>
                <w:sz w:val="16"/>
                <w:szCs w:val="16"/>
                <w:lang w:val="en-CA" w:eastAsia="en-CA"/>
              </w:rPr>
            </w:pPr>
            <w:r w:rsidRPr="00724F47">
              <w:rPr>
                <w:rFonts w:ascii="Microsoft Sans Serif" w:eastAsia="Times New Roman" w:hAnsi="Microsoft Sans Serif" w:cs="Microsoft Sans Serif"/>
                <w:b/>
                <w:bCs/>
                <w:sz w:val="16"/>
                <w:szCs w:val="16"/>
                <w:lang w:val="en-CA" w:eastAsia="en-CA"/>
              </w:rPr>
              <w:t>Executives</w:t>
            </w:r>
          </w:p>
        </w:tc>
        <w:tc>
          <w:tcPr>
            <w:tcW w:w="744" w:type="pct"/>
            <w:vAlign w:val="center"/>
          </w:tcPr>
          <w:p w14:paraId="544A5DC6" w14:textId="77777777" w:rsidR="00DE1D25" w:rsidRPr="00724F47" w:rsidRDefault="00DE1D25" w:rsidP="00DE1D25">
            <w:pPr>
              <w:jc w:val="center"/>
              <w:rPr>
                <w:rFonts w:ascii="Microsoft Sans Serif" w:eastAsia="Times New Roman" w:hAnsi="Microsoft Sans Serif" w:cs="Microsoft Sans Serif"/>
                <w:b/>
                <w:bCs/>
                <w:sz w:val="16"/>
                <w:szCs w:val="16"/>
                <w:lang w:val="en-CA" w:eastAsia="en-CA"/>
              </w:rPr>
            </w:pPr>
            <w:r w:rsidRPr="00724F47">
              <w:rPr>
                <w:rFonts w:ascii="Microsoft Sans Serif" w:eastAsia="Times New Roman" w:hAnsi="Microsoft Sans Serif" w:cs="Microsoft Sans Serif"/>
                <w:b/>
                <w:bCs/>
                <w:sz w:val="16"/>
                <w:szCs w:val="16"/>
                <w:lang w:val="en-CA" w:eastAsia="en-CA"/>
              </w:rPr>
              <w:t>Percentage Difference Executives vs Academics</w:t>
            </w:r>
          </w:p>
        </w:tc>
        <w:tc>
          <w:tcPr>
            <w:tcW w:w="744" w:type="pct"/>
            <w:vAlign w:val="center"/>
          </w:tcPr>
          <w:p w14:paraId="43FC48ED" w14:textId="77777777" w:rsidR="00DE1D25" w:rsidRPr="00724F47" w:rsidRDefault="00DE1D25" w:rsidP="00DE1D25">
            <w:pPr>
              <w:jc w:val="center"/>
              <w:rPr>
                <w:rFonts w:ascii="Microsoft Sans Serif" w:eastAsia="Times New Roman" w:hAnsi="Microsoft Sans Serif" w:cs="Microsoft Sans Serif"/>
                <w:b/>
                <w:bCs/>
                <w:i/>
                <w:sz w:val="16"/>
                <w:szCs w:val="16"/>
                <w:lang w:val="en-CA" w:eastAsia="en-CA"/>
              </w:rPr>
            </w:pPr>
            <w:r w:rsidRPr="00724F47">
              <w:rPr>
                <w:rFonts w:ascii="Microsoft Sans Serif" w:eastAsia="Times New Roman" w:hAnsi="Microsoft Sans Serif" w:cs="Microsoft Sans Serif"/>
                <w:b/>
                <w:bCs/>
                <w:i/>
                <w:sz w:val="16"/>
                <w:szCs w:val="16"/>
                <w:lang w:val="en-CA" w:eastAsia="en-CA"/>
              </w:rPr>
              <w:t>Factor Multiplier for Executives</w:t>
            </w:r>
          </w:p>
        </w:tc>
      </w:tr>
      <w:tr w:rsidR="00DE1D25" w:rsidRPr="00135364" w14:paraId="1F4CDB9E" w14:textId="77777777">
        <w:trPr>
          <w:trHeight w:val="487"/>
        </w:trPr>
        <w:tc>
          <w:tcPr>
            <w:tcW w:w="1964" w:type="pct"/>
            <w:tcBorders>
              <w:top w:val="single" w:sz="6" w:space="0" w:color="008000"/>
              <w:bottom w:val="single" w:sz="4" w:space="0" w:color="auto"/>
            </w:tcBorders>
            <w:vAlign w:val="center"/>
          </w:tcPr>
          <w:p w14:paraId="019C9315" w14:textId="77777777" w:rsidR="00DE1D25" w:rsidRPr="00724F47" w:rsidRDefault="00DE1D25" w:rsidP="00D14259">
            <w:pP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Participate in meetings that discuss academic research</w:t>
            </w:r>
          </w:p>
        </w:tc>
        <w:tc>
          <w:tcPr>
            <w:tcW w:w="772" w:type="pct"/>
            <w:tcBorders>
              <w:top w:val="single" w:sz="6" w:space="0" w:color="008000"/>
              <w:bottom w:val="single" w:sz="4" w:space="0" w:color="auto"/>
            </w:tcBorders>
            <w:noWrap/>
            <w:vAlign w:val="center"/>
          </w:tcPr>
          <w:p w14:paraId="6EC33DA1" w14:textId="77777777" w:rsidR="00DE1D25" w:rsidRPr="00724F47" w:rsidRDefault="00DE1D25" w:rsidP="00D14259">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7%</w:t>
            </w:r>
          </w:p>
        </w:tc>
        <w:tc>
          <w:tcPr>
            <w:tcW w:w="776" w:type="pct"/>
            <w:tcBorders>
              <w:top w:val="single" w:sz="6" w:space="0" w:color="008000"/>
              <w:bottom w:val="single" w:sz="4" w:space="0" w:color="auto"/>
            </w:tcBorders>
            <w:noWrap/>
            <w:vAlign w:val="center"/>
          </w:tcPr>
          <w:p w14:paraId="532041C0" w14:textId="77777777" w:rsidR="00DE1D25" w:rsidRPr="00724F47" w:rsidRDefault="00DE1D25" w:rsidP="00D14259">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35%</w:t>
            </w:r>
          </w:p>
        </w:tc>
        <w:tc>
          <w:tcPr>
            <w:tcW w:w="744" w:type="pct"/>
            <w:tcBorders>
              <w:top w:val="single" w:sz="6" w:space="0" w:color="008000"/>
              <w:bottom w:val="single" w:sz="4" w:space="0" w:color="auto"/>
            </w:tcBorders>
            <w:noWrap/>
            <w:vAlign w:val="center"/>
          </w:tcPr>
          <w:p w14:paraId="1787364C" w14:textId="77777777" w:rsidR="00DE1D25" w:rsidRPr="00724F47" w:rsidRDefault="00DE1D25" w:rsidP="00D14259">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28%</w:t>
            </w:r>
          </w:p>
        </w:tc>
        <w:tc>
          <w:tcPr>
            <w:tcW w:w="744" w:type="pct"/>
            <w:tcBorders>
              <w:top w:val="single" w:sz="6" w:space="0" w:color="008000"/>
              <w:bottom w:val="single" w:sz="4" w:space="0" w:color="auto"/>
            </w:tcBorders>
            <w:vAlign w:val="center"/>
          </w:tcPr>
          <w:p w14:paraId="393AC964" w14:textId="77777777" w:rsidR="00DE1D25" w:rsidRPr="00724F47" w:rsidRDefault="00DE1D25" w:rsidP="00DE1D25">
            <w:pPr>
              <w:jc w:val="center"/>
              <w:rPr>
                <w:rFonts w:ascii="Microsoft Sans Serif" w:eastAsia="Times New Roman" w:hAnsi="Microsoft Sans Serif" w:cs="Microsoft Sans Serif"/>
                <w:i/>
                <w:sz w:val="18"/>
                <w:szCs w:val="18"/>
                <w:lang w:val="en-CA" w:eastAsia="en-CA"/>
              </w:rPr>
            </w:pPr>
            <w:r w:rsidRPr="00724F47">
              <w:rPr>
                <w:rFonts w:ascii="Microsoft Sans Serif" w:eastAsia="Times New Roman" w:hAnsi="Microsoft Sans Serif" w:cs="Microsoft Sans Serif"/>
                <w:i/>
                <w:sz w:val="18"/>
                <w:szCs w:val="18"/>
                <w:lang w:val="en-CA" w:eastAsia="en-CA"/>
              </w:rPr>
              <w:t>5</w:t>
            </w:r>
          </w:p>
        </w:tc>
      </w:tr>
      <w:tr w:rsidR="00DE1D25" w:rsidRPr="00135364" w14:paraId="303AE05F" w14:textId="77777777">
        <w:trPr>
          <w:trHeight w:val="487"/>
        </w:trPr>
        <w:tc>
          <w:tcPr>
            <w:tcW w:w="1964" w:type="pct"/>
            <w:tcBorders>
              <w:top w:val="single" w:sz="6" w:space="0" w:color="008000"/>
              <w:bottom w:val="single" w:sz="4" w:space="0" w:color="auto"/>
            </w:tcBorders>
            <w:vAlign w:val="center"/>
          </w:tcPr>
          <w:p w14:paraId="62921184" w14:textId="77777777" w:rsidR="00DE1D25" w:rsidRPr="00724F47" w:rsidRDefault="00DE1D25" w:rsidP="00D14259">
            <w:pP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Seek/Provide informal advice</w:t>
            </w:r>
          </w:p>
        </w:tc>
        <w:tc>
          <w:tcPr>
            <w:tcW w:w="772" w:type="pct"/>
            <w:tcBorders>
              <w:top w:val="single" w:sz="6" w:space="0" w:color="008000"/>
              <w:bottom w:val="single" w:sz="4" w:space="0" w:color="auto"/>
            </w:tcBorders>
            <w:noWrap/>
            <w:vAlign w:val="center"/>
          </w:tcPr>
          <w:p w14:paraId="18B6DBFB" w14:textId="77777777" w:rsidR="00DE1D25" w:rsidRPr="00724F47" w:rsidRDefault="00DE1D25" w:rsidP="00D14259">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12%</w:t>
            </w:r>
          </w:p>
        </w:tc>
        <w:tc>
          <w:tcPr>
            <w:tcW w:w="776" w:type="pct"/>
            <w:tcBorders>
              <w:top w:val="single" w:sz="6" w:space="0" w:color="008000"/>
              <w:bottom w:val="single" w:sz="4" w:space="0" w:color="auto"/>
            </w:tcBorders>
            <w:noWrap/>
            <w:vAlign w:val="center"/>
          </w:tcPr>
          <w:p w14:paraId="3A21FCA8" w14:textId="77777777" w:rsidR="00DE1D25" w:rsidRPr="00724F47" w:rsidRDefault="00DE1D25" w:rsidP="00D14259">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33%</w:t>
            </w:r>
          </w:p>
        </w:tc>
        <w:tc>
          <w:tcPr>
            <w:tcW w:w="744" w:type="pct"/>
            <w:tcBorders>
              <w:top w:val="single" w:sz="6" w:space="0" w:color="008000"/>
              <w:bottom w:val="single" w:sz="4" w:space="0" w:color="auto"/>
            </w:tcBorders>
            <w:noWrap/>
            <w:vAlign w:val="center"/>
          </w:tcPr>
          <w:p w14:paraId="44E69604" w14:textId="77777777" w:rsidR="00DE1D25" w:rsidRPr="00724F47" w:rsidRDefault="00DE1D25" w:rsidP="00D14259">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21%</w:t>
            </w:r>
          </w:p>
        </w:tc>
        <w:tc>
          <w:tcPr>
            <w:tcW w:w="744" w:type="pct"/>
            <w:tcBorders>
              <w:top w:val="single" w:sz="6" w:space="0" w:color="008000"/>
              <w:bottom w:val="single" w:sz="4" w:space="0" w:color="auto"/>
            </w:tcBorders>
            <w:vAlign w:val="center"/>
          </w:tcPr>
          <w:p w14:paraId="5D160140" w14:textId="77777777" w:rsidR="00DE1D25" w:rsidRPr="00724F47" w:rsidRDefault="00DE1D25" w:rsidP="00DE1D25">
            <w:pPr>
              <w:jc w:val="center"/>
              <w:rPr>
                <w:rFonts w:ascii="Microsoft Sans Serif" w:eastAsia="Times New Roman" w:hAnsi="Microsoft Sans Serif" w:cs="Microsoft Sans Serif"/>
                <w:i/>
                <w:sz w:val="18"/>
                <w:szCs w:val="18"/>
                <w:lang w:val="en-CA" w:eastAsia="en-CA"/>
              </w:rPr>
            </w:pPr>
            <w:r w:rsidRPr="00724F47">
              <w:rPr>
                <w:rFonts w:ascii="Microsoft Sans Serif" w:eastAsia="Times New Roman" w:hAnsi="Microsoft Sans Serif" w:cs="Microsoft Sans Serif"/>
                <w:i/>
                <w:sz w:val="18"/>
                <w:szCs w:val="18"/>
                <w:lang w:val="en-CA" w:eastAsia="en-CA"/>
              </w:rPr>
              <w:t>2</w:t>
            </w:r>
          </w:p>
        </w:tc>
      </w:tr>
      <w:tr w:rsidR="00DE1D25" w:rsidRPr="00135364" w14:paraId="5EBDFE54" w14:textId="77777777">
        <w:trPr>
          <w:trHeight w:val="575"/>
        </w:trPr>
        <w:tc>
          <w:tcPr>
            <w:tcW w:w="1964" w:type="pct"/>
            <w:tcBorders>
              <w:top w:val="single" w:sz="4" w:space="0" w:color="auto"/>
              <w:bottom w:val="single" w:sz="4" w:space="0" w:color="auto"/>
            </w:tcBorders>
            <w:vAlign w:val="center"/>
          </w:tcPr>
          <w:p w14:paraId="5DBE7A78" w14:textId="77777777" w:rsidR="00DE1D25" w:rsidRPr="00724F47" w:rsidRDefault="00DE1D25" w:rsidP="00D14259">
            <w:pP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Participate in a network</w:t>
            </w:r>
          </w:p>
        </w:tc>
        <w:tc>
          <w:tcPr>
            <w:tcW w:w="772" w:type="pct"/>
            <w:tcBorders>
              <w:top w:val="single" w:sz="4" w:space="0" w:color="auto"/>
              <w:bottom w:val="single" w:sz="4" w:space="0" w:color="auto"/>
            </w:tcBorders>
            <w:noWrap/>
            <w:vAlign w:val="center"/>
          </w:tcPr>
          <w:p w14:paraId="6F6D4540" w14:textId="77777777" w:rsidR="00DE1D25" w:rsidRPr="00724F47" w:rsidRDefault="00DE1D25" w:rsidP="00D14259">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13%</w:t>
            </w:r>
          </w:p>
        </w:tc>
        <w:tc>
          <w:tcPr>
            <w:tcW w:w="776" w:type="pct"/>
            <w:tcBorders>
              <w:top w:val="single" w:sz="4" w:space="0" w:color="auto"/>
              <w:bottom w:val="single" w:sz="4" w:space="0" w:color="auto"/>
            </w:tcBorders>
            <w:noWrap/>
            <w:vAlign w:val="center"/>
          </w:tcPr>
          <w:p w14:paraId="4E06AB86" w14:textId="77777777" w:rsidR="00DE1D25" w:rsidRPr="00724F47" w:rsidRDefault="00DE1D25" w:rsidP="00D14259">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27%</w:t>
            </w:r>
          </w:p>
        </w:tc>
        <w:tc>
          <w:tcPr>
            <w:tcW w:w="744" w:type="pct"/>
            <w:tcBorders>
              <w:top w:val="single" w:sz="4" w:space="0" w:color="auto"/>
              <w:bottom w:val="single" w:sz="4" w:space="0" w:color="auto"/>
            </w:tcBorders>
            <w:noWrap/>
            <w:vAlign w:val="center"/>
          </w:tcPr>
          <w:p w14:paraId="70EF1682" w14:textId="77777777" w:rsidR="00DE1D25" w:rsidRPr="00724F47" w:rsidRDefault="00DE1D25" w:rsidP="00D14259">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14%</w:t>
            </w:r>
          </w:p>
        </w:tc>
        <w:tc>
          <w:tcPr>
            <w:tcW w:w="744" w:type="pct"/>
            <w:tcBorders>
              <w:top w:val="single" w:sz="4" w:space="0" w:color="auto"/>
              <w:bottom w:val="single" w:sz="4" w:space="0" w:color="auto"/>
            </w:tcBorders>
            <w:vAlign w:val="center"/>
          </w:tcPr>
          <w:p w14:paraId="1F3F6979" w14:textId="77777777" w:rsidR="00DE1D25" w:rsidRPr="00724F47" w:rsidRDefault="00DE1D25" w:rsidP="00DE1D25">
            <w:pPr>
              <w:jc w:val="center"/>
              <w:rPr>
                <w:rFonts w:ascii="Microsoft Sans Serif" w:eastAsia="Times New Roman" w:hAnsi="Microsoft Sans Serif" w:cs="Microsoft Sans Serif"/>
                <w:i/>
                <w:sz w:val="18"/>
                <w:szCs w:val="18"/>
                <w:lang w:val="en-CA" w:eastAsia="en-CA"/>
              </w:rPr>
            </w:pPr>
            <w:r w:rsidRPr="00724F47">
              <w:rPr>
                <w:rFonts w:ascii="Microsoft Sans Serif" w:eastAsia="Times New Roman" w:hAnsi="Microsoft Sans Serif" w:cs="Microsoft Sans Serif"/>
                <w:i/>
                <w:sz w:val="18"/>
                <w:szCs w:val="18"/>
                <w:lang w:val="en-CA" w:eastAsia="en-CA"/>
              </w:rPr>
              <w:t>2</w:t>
            </w:r>
          </w:p>
        </w:tc>
      </w:tr>
      <w:tr w:rsidR="00DE1D25" w:rsidRPr="00135364" w14:paraId="57BCB51E" w14:textId="77777777">
        <w:trPr>
          <w:trHeight w:val="510"/>
        </w:trPr>
        <w:tc>
          <w:tcPr>
            <w:tcW w:w="1964" w:type="pct"/>
            <w:tcBorders>
              <w:top w:val="single" w:sz="4" w:space="0" w:color="auto"/>
              <w:bottom w:val="single" w:sz="4" w:space="0" w:color="auto"/>
            </w:tcBorders>
            <w:vAlign w:val="center"/>
          </w:tcPr>
          <w:p w14:paraId="39D2BF46" w14:textId="77777777" w:rsidR="00DE1D25" w:rsidRPr="00724F47" w:rsidRDefault="00DE1D25" w:rsidP="00D14259">
            <w:pP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Provide/Commission academic research reports</w:t>
            </w:r>
          </w:p>
        </w:tc>
        <w:tc>
          <w:tcPr>
            <w:tcW w:w="772" w:type="pct"/>
            <w:tcBorders>
              <w:top w:val="single" w:sz="4" w:space="0" w:color="auto"/>
              <w:bottom w:val="single" w:sz="4" w:space="0" w:color="auto"/>
            </w:tcBorders>
            <w:noWrap/>
            <w:vAlign w:val="center"/>
          </w:tcPr>
          <w:p w14:paraId="6500A357" w14:textId="77777777" w:rsidR="00DE1D25" w:rsidRPr="00724F47" w:rsidRDefault="00DE1D25" w:rsidP="00D14259">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3%</w:t>
            </w:r>
          </w:p>
        </w:tc>
        <w:tc>
          <w:tcPr>
            <w:tcW w:w="776" w:type="pct"/>
            <w:tcBorders>
              <w:top w:val="single" w:sz="4" w:space="0" w:color="auto"/>
              <w:bottom w:val="single" w:sz="4" w:space="0" w:color="auto"/>
            </w:tcBorders>
            <w:noWrap/>
            <w:vAlign w:val="center"/>
          </w:tcPr>
          <w:p w14:paraId="6487224F" w14:textId="77777777" w:rsidR="00DE1D25" w:rsidRPr="00724F47" w:rsidRDefault="00DE1D25" w:rsidP="00D14259">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16%</w:t>
            </w:r>
          </w:p>
        </w:tc>
        <w:tc>
          <w:tcPr>
            <w:tcW w:w="744" w:type="pct"/>
            <w:tcBorders>
              <w:top w:val="single" w:sz="4" w:space="0" w:color="auto"/>
              <w:bottom w:val="single" w:sz="4" w:space="0" w:color="auto"/>
            </w:tcBorders>
            <w:noWrap/>
            <w:vAlign w:val="center"/>
          </w:tcPr>
          <w:p w14:paraId="2F3C2B82" w14:textId="77777777" w:rsidR="00DE1D25" w:rsidRPr="00724F47" w:rsidRDefault="00DE1D25" w:rsidP="00D14259">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13%</w:t>
            </w:r>
          </w:p>
        </w:tc>
        <w:tc>
          <w:tcPr>
            <w:tcW w:w="744" w:type="pct"/>
            <w:tcBorders>
              <w:top w:val="single" w:sz="4" w:space="0" w:color="auto"/>
              <w:bottom w:val="single" w:sz="4" w:space="0" w:color="auto"/>
            </w:tcBorders>
            <w:vAlign w:val="center"/>
          </w:tcPr>
          <w:p w14:paraId="325DE8E7" w14:textId="77777777" w:rsidR="00DE1D25" w:rsidRPr="00724F47" w:rsidRDefault="00DE1D25" w:rsidP="00DE1D25">
            <w:pPr>
              <w:jc w:val="center"/>
              <w:rPr>
                <w:rFonts w:ascii="Microsoft Sans Serif" w:eastAsia="Times New Roman" w:hAnsi="Microsoft Sans Serif" w:cs="Microsoft Sans Serif"/>
                <w:i/>
                <w:sz w:val="18"/>
                <w:szCs w:val="18"/>
                <w:lang w:val="en-CA" w:eastAsia="en-CA"/>
              </w:rPr>
            </w:pPr>
            <w:r w:rsidRPr="00724F47">
              <w:rPr>
                <w:rFonts w:ascii="Microsoft Sans Serif" w:eastAsia="Times New Roman" w:hAnsi="Microsoft Sans Serif" w:cs="Microsoft Sans Serif"/>
                <w:i/>
                <w:sz w:val="18"/>
                <w:szCs w:val="18"/>
                <w:lang w:val="en-CA" w:eastAsia="en-CA"/>
              </w:rPr>
              <w:t>5</w:t>
            </w:r>
          </w:p>
        </w:tc>
      </w:tr>
    </w:tbl>
    <w:p w14:paraId="7D7D1982" w14:textId="77777777" w:rsidR="00D14259" w:rsidRPr="008F5F62" w:rsidRDefault="00D14259" w:rsidP="00D14259">
      <w:pPr>
        <w:spacing w:line="360" w:lineRule="auto"/>
      </w:pPr>
    </w:p>
    <w:p w14:paraId="434899B8" w14:textId="77777777" w:rsidR="00D14259" w:rsidRPr="008F5F62" w:rsidRDefault="00164962" w:rsidP="00D14259">
      <w:pPr>
        <w:spacing w:line="360" w:lineRule="auto"/>
      </w:pPr>
      <w:r>
        <w:t xml:space="preserve">Besides the evident percentage differences in the responses, which are all in the double digits it is interesting to see how very high are the factor differences for these activities. At a minimum, academics report </w:t>
      </w:r>
      <w:r w:rsidR="002C5923">
        <w:t xml:space="preserve">activity </w:t>
      </w:r>
      <w:r>
        <w:t xml:space="preserve">half as frequent as </w:t>
      </w:r>
      <w:r w:rsidR="0043331F">
        <w:t>executives;</w:t>
      </w:r>
      <w:r>
        <w:t xml:space="preserve"> at worst they report just 20% of that activity. </w:t>
      </w:r>
    </w:p>
    <w:p w14:paraId="533E0DAC" w14:textId="77777777" w:rsidR="00DB2BC3" w:rsidRDefault="00DB2BC3" w:rsidP="00D14259">
      <w:pPr>
        <w:spacing w:line="360" w:lineRule="auto"/>
      </w:pPr>
    </w:p>
    <w:p w14:paraId="0E9F538F" w14:textId="77777777" w:rsidR="00164962" w:rsidRDefault="0043331F" w:rsidP="00D14259">
      <w:pPr>
        <w:spacing w:line="360" w:lineRule="auto"/>
      </w:pPr>
      <w:r>
        <w:t xml:space="preserve">The table below highlights the differences in responses between the academic community and the executives along all </w:t>
      </w:r>
      <w:r w:rsidR="003610D1">
        <w:t xml:space="preserve">questions. We have slightly modified the variables’ names in the table because they reflect specular engagement types. For </w:t>
      </w:r>
      <w:proofErr w:type="gramStart"/>
      <w:r w:rsidR="003610D1">
        <w:t>example</w:t>
      </w:r>
      <w:proofErr w:type="gramEnd"/>
      <w:r w:rsidR="003610D1">
        <w:t xml:space="preserve"> executives were asked how often they i</w:t>
      </w:r>
      <w:r w:rsidR="003610D1" w:rsidRPr="003610D1">
        <w:t>nvite academics to serve on boards, panels, or committees</w:t>
      </w:r>
      <w:r w:rsidR="003610D1">
        <w:t>, while academics were asked how often they were invited to serve there. The values reflect a simple subtraction of the response values</w:t>
      </w:r>
      <w:r w:rsidR="00E66CFD">
        <w:t xml:space="preserve"> (academics value</w:t>
      </w:r>
      <w:r w:rsidR="00E66CFD" w:rsidRPr="00E66CFD">
        <w:t xml:space="preserve"> </w:t>
      </w:r>
      <w:r w:rsidR="002C5923">
        <w:t>–</w:t>
      </w:r>
      <w:r w:rsidR="00E66CFD">
        <w:t xml:space="preserve"> executives value)</w:t>
      </w:r>
      <w:r w:rsidR="003610D1">
        <w:t xml:space="preserve">, so for the first variable in the ‘Never’ column academics </w:t>
      </w:r>
      <w:r w:rsidR="00727BB3">
        <w:t xml:space="preserve">is the result of </w:t>
      </w:r>
      <w:r w:rsidR="00727BB3" w:rsidRPr="00727BB3">
        <w:t>13.1%</w:t>
      </w:r>
      <w:r w:rsidR="00727BB3">
        <w:t xml:space="preserve"> - </w:t>
      </w:r>
      <w:r w:rsidR="00727BB3" w:rsidRPr="00727BB3">
        <w:t>57.6%</w:t>
      </w:r>
      <w:r w:rsidR="00727BB3">
        <w:t xml:space="preserve"> = </w:t>
      </w:r>
      <w:r w:rsidR="00727BB3" w:rsidRPr="00727BB3">
        <w:t>-44.6%</w:t>
      </w:r>
      <w:r w:rsidR="00727BB3">
        <w:t xml:space="preserve">. </w:t>
      </w:r>
    </w:p>
    <w:p w14:paraId="115540C9" w14:textId="77777777" w:rsidR="00231296" w:rsidRDefault="00231296" w:rsidP="00D14259">
      <w:pPr>
        <w:spacing w:line="360" w:lineRule="auto"/>
      </w:pPr>
    </w:p>
    <w:p w14:paraId="0EA31C77" w14:textId="77777777" w:rsidR="002C5923" w:rsidRDefault="002C5923" w:rsidP="00D14259">
      <w:pPr>
        <w:spacing w:line="360" w:lineRule="auto"/>
      </w:pPr>
    </w:p>
    <w:p w14:paraId="2287B29C" w14:textId="77777777" w:rsidR="002C5923" w:rsidRPr="00727BB3" w:rsidRDefault="002C5923" w:rsidP="00D14259">
      <w:pPr>
        <w:spacing w:line="360" w:lineRule="auto"/>
      </w:pPr>
    </w:p>
    <w:p w14:paraId="4ADBD90C" w14:textId="77777777" w:rsidR="00164962" w:rsidRPr="00164962" w:rsidRDefault="00164962" w:rsidP="00D14259">
      <w:pPr>
        <w:spacing w:line="360" w:lineRule="auto"/>
      </w:pPr>
      <w:r w:rsidRPr="00461CFA">
        <w:rPr>
          <w:i/>
        </w:rPr>
        <w:t xml:space="preserve">Table </w:t>
      </w:r>
      <w:r w:rsidR="00AC4879">
        <w:rPr>
          <w:i/>
        </w:rPr>
        <w:t>8</w:t>
      </w:r>
      <w:r>
        <w:rPr>
          <w:i/>
        </w:rPr>
        <w:t>. Areas of Engagement – Differences between Academics and Executives</w:t>
      </w:r>
    </w:p>
    <w:tbl>
      <w:tblPr>
        <w:tblStyle w:val="Tableausimple1"/>
        <w:tblW w:w="5000" w:type="pct"/>
        <w:tblLook w:val="04A0" w:firstRow="1" w:lastRow="0" w:firstColumn="1" w:lastColumn="0" w:noHBand="0" w:noVBand="1"/>
      </w:tblPr>
      <w:tblGrid>
        <w:gridCol w:w="2998"/>
        <w:gridCol w:w="1125"/>
        <w:gridCol w:w="1125"/>
        <w:gridCol w:w="1355"/>
        <w:gridCol w:w="1017"/>
        <w:gridCol w:w="110"/>
        <w:gridCol w:w="1126"/>
      </w:tblGrid>
      <w:tr w:rsidR="00164962" w:rsidRPr="009A43E4" w14:paraId="799A89BD" w14:textId="77777777">
        <w:trPr>
          <w:cnfStyle w:val="100000000000" w:firstRow="1" w:lastRow="0" w:firstColumn="0" w:lastColumn="0" w:oddVBand="0" w:evenVBand="0" w:oddHBand="0" w:evenHBand="0" w:firstRowFirstColumn="0" w:firstRowLastColumn="0" w:lastRowFirstColumn="0" w:lastRowLastColumn="0"/>
          <w:trHeight w:val="752"/>
        </w:trPr>
        <w:tc>
          <w:tcPr>
            <w:tcW w:w="1693" w:type="pct"/>
            <w:tcBorders>
              <w:bottom w:val="nil"/>
            </w:tcBorders>
            <w:noWrap/>
          </w:tcPr>
          <w:p w14:paraId="6F227B0C" w14:textId="77777777" w:rsidR="00164962" w:rsidRPr="009A43E4" w:rsidRDefault="00164962" w:rsidP="0070428A">
            <w:pPr>
              <w:rPr>
                <w:rFonts w:ascii="Microsoft Sans Serif" w:eastAsia="Times New Roman" w:hAnsi="Microsoft Sans Serif" w:cs="Microsoft Sans Serif"/>
                <w:b/>
                <w:bCs/>
                <w:sz w:val="20"/>
                <w:szCs w:val="20"/>
                <w:lang w:val="en-CA" w:eastAsia="en-CA"/>
              </w:rPr>
            </w:pPr>
          </w:p>
        </w:tc>
        <w:tc>
          <w:tcPr>
            <w:tcW w:w="635" w:type="pct"/>
            <w:tcBorders>
              <w:top w:val="single" w:sz="12" w:space="0" w:color="008000"/>
              <w:bottom w:val="single" w:sz="4" w:space="0" w:color="auto"/>
            </w:tcBorders>
          </w:tcPr>
          <w:p w14:paraId="18D76576" w14:textId="77777777" w:rsidR="00164962" w:rsidRPr="00724F47" w:rsidRDefault="00164962" w:rsidP="0070428A">
            <w:pPr>
              <w:jc w:val="center"/>
              <w:rPr>
                <w:rFonts w:ascii="Microsoft Sans Serif" w:eastAsia="Times New Roman" w:hAnsi="Microsoft Sans Serif" w:cs="Microsoft Sans Serif"/>
                <w:b/>
                <w:bCs/>
                <w:sz w:val="16"/>
                <w:szCs w:val="16"/>
                <w:lang w:val="en-CA" w:eastAsia="en-CA"/>
              </w:rPr>
            </w:pPr>
            <w:r w:rsidRPr="00724F47">
              <w:rPr>
                <w:rFonts w:ascii="Microsoft Sans Serif" w:eastAsia="Times New Roman" w:hAnsi="Microsoft Sans Serif" w:cs="Microsoft Sans Serif"/>
                <w:b/>
                <w:bCs/>
                <w:sz w:val="16"/>
                <w:szCs w:val="16"/>
                <w:lang w:val="en-CA" w:eastAsia="en-CA"/>
              </w:rPr>
              <w:t xml:space="preserve">Never </w:t>
            </w:r>
          </w:p>
        </w:tc>
        <w:tc>
          <w:tcPr>
            <w:tcW w:w="635" w:type="pct"/>
            <w:tcBorders>
              <w:top w:val="single" w:sz="12" w:space="0" w:color="008000"/>
              <w:bottom w:val="single" w:sz="4" w:space="0" w:color="auto"/>
            </w:tcBorders>
          </w:tcPr>
          <w:p w14:paraId="1A5C1B23" w14:textId="77777777" w:rsidR="00164962" w:rsidRPr="00724F47" w:rsidRDefault="00164962" w:rsidP="0070428A">
            <w:pPr>
              <w:jc w:val="center"/>
              <w:rPr>
                <w:rFonts w:ascii="Microsoft Sans Serif" w:eastAsia="Times New Roman" w:hAnsi="Microsoft Sans Serif" w:cs="Microsoft Sans Serif"/>
                <w:b/>
                <w:bCs/>
                <w:sz w:val="16"/>
                <w:szCs w:val="16"/>
                <w:lang w:val="en-CA" w:eastAsia="en-CA"/>
              </w:rPr>
            </w:pPr>
            <w:r w:rsidRPr="00724F47">
              <w:rPr>
                <w:rFonts w:ascii="Microsoft Sans Serif" w:eastAsia="Times New Roman" w:hAnsi="Microsoft Sans Serif" w:cs="Microsoft Sans Serif"/>
                <w:b/>
                <w:bCs/>
                <w:sz w:val="16"/>
                <w:szCs w:val="16"/>
                <w:lang w:val="en-CA" w:eastAsia="en-CA"/>
              </w:rPr>
              <w:t xml:space="preserve">Seldom </w:t>
            </w:r>
          </w:p>
          <w:p w14:paraId="5A89DB30" w14:textId="77777777" w:rsidR="00164962" w:rsidRPr="00724F47" w:rsidRDefault="00164962" w:rsidP="0070428A">
            <w:pPr>
              <w:jc w:val="center"/>
              <w:rPr>
                <w:rFonts w:ascii="Microsoft Sans Serif" w:eastAsia="Times New Roman" w:hAnsi="Microsoft Sans Serif" w:cs="Microsoft Sans Serif"/>
                <w:b/>
                <w:bCs/>
                <w:sz w:val="16"/>
                <w:szCs w:val="16"/>
                <w:lang w:val="en-CA" w:eastAsia="en-CA"/>
              </w:rPr>
            </w:pPr>
            <w:r w:rsidRPr="00724F47">
              <w:rPr>
                <w:rFonts w:ascii="Microsoft Sans Serif" w:eastAsia="Times New Roman" w:hAnsi="Microsoft Sans Serif" w:cs="Microsoft Sans Serif"/>
                <w:b/>
                <w:bCs/>
                <w:sz w:val="16"/>
                <w:szCs w:val="16"/>
                <w:lang w:val="en-CA" w:eastAsia="en-CA"/>
              </w:rPr>
              <w:t>(not more than twice per year)</w:t>
            </w:r>
          </w:p>
        </w:tc>
        <w:tc>
          <w:tcPr>
            <w:tcW w:w="765" w:type="pct"/>
            <w:tcBorders>
              <w:top w:val="single" w:sz="12" w:space="0" w:color="008000"/>
              <w:bottom w:val="single" w:sz="4" w:space="0" w:color="auto"/>
            </w:tcBorders>
          </w:tcPr>
          <w:p w14:paraId="75AAB998" w14:textId="77777777" w:rsidR="00164962" w:rsidRPr="00724F47" w:rsidRDefault="00164962" w:rsidP="0070428A">
            <w:pPr>
              <w:jc w:val="center"/>
              <w:rPr>
                <w:rFonts w:ascii="Microsoft Sans Serif" w:eastAsia="Times New Roman" w:hAnsi="Microsoft Sans Serif" w:cs="Microsoft Sans Serif"/>
                <w:b/>
                <w:bCs/>
                <w:sz w:val="16"/>
                <w:szCs w:val="16"/>
                <w:lang w:val="en-CA" w:eastAsia="en-CA"/>
              </w:rPr>
            </w:pPr>
            <w:r w:rsidRPr="00724F47">
              <w:rPr>
                <w:rFonts w:ascii="Microsoft Sans Serif" w:eastAsia="Times New Roman" w:hAnsi="Microsoft Sans Serif" w:cs="Microsoft Sans Serif"/>
                <w:b/>
                <w:bCs/>
                <w:sz w:val="16"/>
                <w:szCs w:val="16"/>
                <w:lang w:val="en-CA" w:eastAsia="en-CA"/>
              </w:rPr>
              <w:t xml:space="preserve">Occasionally </w:t>
            </w:r>
          </w:p>
          <w:p w14:paraId="319EF168" w14:textId="77777777" w:rsidR="00164962" w:rsidRPr="00724F47" w:rsidRDefault="00164962" w:rsidP="0070428A">
            <w:pPr>
              <w:jc w:val="center"/>
              <w:rPr>
                <w:rFonts w:ascii="Microsoft Sans Serif" w:eastAsia="Times New Roman" w:hAnsi="Microsoft Sans Serif" w:cs="Microsoft Sans Serif"/>
                <w:b/>
                <w:bCs/>
                <w:sz w:val="16"/>
                <w:szCs w:val="16"/>
                <w:lang w:val="en-CA" w:eastAsia="en-CA"/>
              </w:rPr>
            </w:pPr>
            <w:r w:rsidRPr="00724F47">
              <w:rPr>
                <w:rFonts w:ascii="Microsoft Sans Serif" w:eastAsia="Times New Roman" w:hAnsi="Microsoft Sans Serif" w:cs="Microsoft Sans Serif"/>
                <w:b/>
                <w:bCs/>
                <w:sz w:val="16"/>
                <w:szCs w:val="16"/>
                <w:lang w:val="en-CA" w:eastAsia="en-CA"/>
              </w:rPr>
              <w:t>(at least every three months)</w:t>
            </w:r>
          </w:p>
        </w:tc>
        <w:tc>
          <w:tcPr>
            <w:tcW w:w="574" w:type="pct"/>
            <w:tcBorders>
              <w:top w:val="single" w:sz="12" w:space="0" w:color="008000"/>
              <w:bottom w:val="single" w:sz="4" w:space="0" w:color="auto"/>
            </w:tcBorders>
          </w:tcPr>
          <w:p w14:paraId="399FFFEB" w14:textId="77777777" w:rsidR="00164962" w:rsidRPr="00724F47" w:rsidRDefault="00164962" w:rsidP="0070428A">
            <w:pPr>
              <w:jc w:val="center"/>
              <w:rPr>
                <w:rFonts w:ascii="Microsoft Sans Serif" w:eastAsia="Times New Roman" w:hAnsi="Microsoft Sans Serif" w:cs="Microsoft Sans Serif"/>
                <w:b/>
                <w:bCs/>
                <w:sz w:val="16"/>
                <w:szCs w:val="16"/>
                <w:lang w:val="en-CA" w:eastAsia="en-CA"/>
              </w:rPr>
            </w:pPr>
            <w:r w:rsidRPr="00724F47">
              <w:rPr>
                <w:rFonts w:ascii="Microsoft Sans Serif" w:eastAsia="Times New Roman" w:hAnsi="Microsoft Sans Serif" w:cs="Microsoft Sans Serif"/>
                <w:b/>
                <w:bCs/>
                <w:sz w:val="16"/>
                <w:szCs w:val="16"/>
                <w:lang w:val="en-CA" w:eastAsia="en-CA"/>
              </w:rPr>
              <w:t xml:space="preserve">Often </w:t>
            </w:r>
          </w:p>
          <w:p w14:paraId="4A29ABBE" w14:textId="77777777" w:rsidR="00164962" w:rsidRPr="00724F47" w:rsidRDefault="00164962" w:rsidP="0070428A">
            <w:pPr>
              <w:jc w:val="center"/>
              <w:rPr>
                <w:rFonts w:ascii="Microsoft Sans Serif" w:eastAsia="Times New Roman" w:hAnsi="Microsoft Sans Serif" w:cs="Microsoft Sans Serif"/>
                <w:b/>
                <w:bCs/>
                <w:sz w:val="16"/>
                <w:szCs w:val="16"/>
                <w:lang w:val="en-CA" w:eastAsia="en-CA"/>
              </w:rPr>
            </w:pPr>
            <w:r w:rsidRPr="00724F47">
              <w:rPr>
                <w:rFonts w:ascii="Microsoft Sans Serif" w:eastAsia="Times New Roman" w:hAnsi="Microsoft Sans Serif" w:cs="Microsoft Sans Serif"/>
                <w:b/>
                <w:bCs/>
                <w:sz w:val="16"/>
                <w:szCs w:val="16"/>
                <w:lang w:val="en-CA" w:eastAsia="en-CA"/>
              </w:rPr>
              <w:t>(at least every month)</w:t>
            </w:r>
          </w:p>
        </w:tc>
        <w:tc>
          <w:tcPr>
            <w:tcW w:w="698" w:type="pct"/>
            <w:gridSpan w:val="2"/>
            <w:tcBorders>
              <w:top w:val="single" w:sz="12" w:space="0" w:color="008000"/>
              <w:bottom w:val="single" w:sz="4" w:space="0" w:color="auto"/>
            </w:tcBorders>
          </w:tcPr>
          <w:p w14:paraId="3BAE7BE7" w14:textId="77777777" w:rsidR="00164962" w:rsidRPr="00724F47" w:rsidRDefault="00164962" w:rsidP="0070428A">
            <w:pPr>
              <w:jc w:val="center"/>
              <w:rPr>
                <w:rFonts w:ascii="Microsoft Sans Serif" w:eastAsia="Times New Roman" w:hAnsi="Microsoft Sans Serif" w:cs="Microsoft Sans Serif"/>
                <w:b/>
                <w:bCs/>
                <w:sz w:val="16"/>
                <w:szCs w:val="16"/>
                <w:lang w:val="en-CA" w:eastAsia="en-CA"/>
              </w:rPr>
            </w:pPr>
            <w:r w:rsidRPr="00724F47">
              <w:rPr>
                <w:rFonts w:ascii="Microsoft Sans Serif" w:eastAsia="Times New Roman" w:hAnsi="Microsoft Sans Serif" w:cs="Microsoft Sans Serif"/>
                <w:b/>
                <w:bCs/>
                <w:sz w:val="16"/>
                <w:szCs w:val="16"/>
                <w:lang w:val="en-CA" w:eastAsia="en-CA"/>
              </w:rPr>
              <w:t xml:space="preserve">Very Often </w:t>
            </w:r>
          </w:p>
          <w:p w14:paraId="2FD42BA1" w14:textId="77777777" w:rsidR="00164962" w:rsidRPr="00724F47" w:rsidRDefault="00164962" w:rsidP="0070428A">
            <w:pPr>
              <w:jc w:val="center"/>
              <w:rPr>
                <w:rFonts w:ascii="Microsoft Sans Serif" w:eastAsia="Times New Roman" w:hAnsi="Microsoft Sans Serif" w:cs="Microsoft Sans Serif"/>
                <w:b/>
                <w:bCs/>
                <w:sz w:val="16"/>
                <w:szCs w:val="16"/>
                <w:lang w:val="en-CA" w:eastAsia="en-CA"/>
              </w:rPr>
            </w:pPr>
            <w:r w:rsidRPr="00724F47">
              <w:rPr>
                <w:rFonts w:ascii="Microsoft Sans Serif" w:eastAsia="Times New Roman" w:hAnsi="Microsoft Sans Serif" w:cs="Microsoft Sans Serif"/>
                <w:b/>
                <w:bCs/>
                <w:sz w:val="16"/>
                <w:szCs w:val="16"/>
                <w:lang w:val="en-CA" w:eastAsia="en-CA"/>
              </w:rPr>
              <w:t>(more than twice per month)</w:t>
            </w:r>
          </w:p>
        </w:tc>
      </w:tr>
      <w:tr w:rsidR="00164962" w:rsidRPr="009A43E4" w14:paraId="3AFFB31B" w14:textId="77777777">
        <w:trPr>
          <w:trHeight w:val="510"/>
        </w:trPr>
        <w:tc>
          <w:tcPr>
            <w:tcW w:w="1693" w:type="pct"/>
            <w:tcBorders>
              <w:top w:val="nil"/>
              <w:bottom w:val="single" w:sz="4" w:space="0" w:color="auto"/>
            </w:tcBorders>
          </w:tcPr>
          <w:p w14:paraId="38A31817" w14:textId="77777777" w:rsidR="00164962" w:rsidRPr="00724F47" w:rsidRDefault="00164962" w:rsidP="008F44D9">
            <w:pP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Invite academics</w:t>
            </w:r>
            <w:r w:rsidR="008F44D9" w:rsidRPr="00724F47">
              <w:rPr>
                <w:rFonts w:ascii="Microsoft Sans Serif" w:eastAsia="Times New Roman" w:hAnsi="Microsoft Sans Serif" w:cs="Microsoft Sans Serif"/>
                <w:sz w:val="18"/>
                <w:szCs w:val="18"/>
                <w:lang w:val="en-CA" w:eastAsia="en-CA"/>
              </w:rPr>
              <w:t xml:space="preserve">/ being invited </w:t>
            </w:r>
            <w:r w:rsidRPr="00724F47">
              <w:rPr>
                <w:rFonts w:ascii="Microsoft Sans Serif" w:eastAsia="Times New Roman" w:hAnsi="Microsoft Sans Serif" w:cs="Microsoft Sans Serif"/>
                <w:sz w:val="18"/>
                <w:szCs w:val="18"/>
                <w:lang w:val="en-CA" w:eastAsia="en-CA"/>
              </w:rPr>
              <w:t>to serve on boards, panels, or committees</w:t>
            </w:r>
          </w:p>
        </w:tc>
        <w:tc>
          <w:tcPr>
            <w:tcW w:w="635" w:type="pct"/>
            <w:tcBorders>
              <w:top w:val="single" w:sz="4" w:space="0" w:color="auto"/>
              <w:bottom w:val="single" w:sz="4" w:space="0" w:color="auto"/>
            </w:tcBorders>
            <w:shd w:val="clear" w:color="auto" w:fill="FFFF00"/>
            <w:noWrap/>
            <w:vAlign w:val="center"/>
          </w:tcPr>
          <w:p w14:paraId="63DFEAB8" w14:textId="77777777" w:rsidR="00164962" w:rsidRPr="00724F47" w:rsidRDefault="00A009CD" w:rsidP="0070428A">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-44.6</w:t>
            </w:r>
            <w:r w:rsidR="00164962" w:rsidRPr="00724F47">
              <w:rPr>
                <w:rFonts w:ascii="Microsoft Sans Serif" w:eastAsia="Times New Roman" w:hAnsi="Microsoft Sans Serif" w:cs="Microsoft Sans Serif"/>
                <w:sz w:val="18"/>
                <w:szCs w:val="18"/>
                <w:lang w:val="en-CA" w:eastAsia="en-CA"/>
              </w:rPr>
              <w:t>%</w:t>
            </w:r>
          </w:p>
        </w:tc>
        <w:tc>
          <w:tcPr>
            <w:tcW w:w="635" w:type="pct"/>
            <w:tcBorders>
              <w:top w:val="single" w:sz="4" w:space="0" w:color="auto"/>
              <w:bottom w:val="single" w:sz="4" w:space="0" w:color="auto"/>
            </w:tcBorders>
            <w:noWrap/>
            <w:vAlign w:val="center"/>
          </w:tcPr>
          <w:p w14:paraId="203C6FCF" w14:textId="77777777" w:rsidR="00164962" w:rsidRPr="00724F47" w:rsidRDefault="00A009CD" w:rsidP="0070428A">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-1.6</w:t>
            </w:r>
            <w:r w:rsidR="00164962" w:rsidRPr="00724F47">
              <w:rPr>
                <w:rFonts w:ascii="Microsoft Sans Serif" w:eastAsia="Times New Roman" w:hAnsi="Microsoft Sans Serif" w:cs="Microsoft Sans Serif"/>
                <w:sz w:val="18"/>
                <w:szCs w:val="18"/>
                <w:lang w:val="en-CA" w:eastAsia="en-CA"/>
              </w:rPr>
              <w:t>%</w:t>
            </w:r>
          </w:p>
        </w:tc>
        <w:tc>
          <w:tcPr>
            <w:tcW w:w="765" w:type="pct"/>
            <w:tcBorders>
              <w:top w:val="single" w:sz="4" w:space="0" w:color="auto"/>
              <w:bottom w:val="single" w:sz="4" w:space="0" w:color="auto"/>
            </w:tcBorders>
            <w:shd w:val="clear" w:color="auto" w:fill="92D050"/>
            <w:noWrap/>
            <w:vAlign w:val="center"/>
          </w:tcPr>
          <w:p w14:paraId="499A1F4E" w14:textId="77777777" w:rsidR="00164962" w:rsidRPr="00724F47" w:rsidRDefault="00A009CD" w:rsidP="0070428A">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25.2</w:t>
            </w:r>
            <w:r w:rsidR="00164962" w:rsidRPr="00724F47">
              <w:rPr>
                <w:rFonts w:ascii="Microsoft Sans Serif" w:eastAsia="Times New Roman" w:hAnsi="Microsoft Sans Serif" w:cs="Microsoft Sans Serif"/>
                <w:sz w:val="18"/>
                <w:szCs w:val="18"/>
                <w:lang w:val="en-CA" w:eastAsia="en-CA"/>
              </w:rPr>
              <w:t>%</w:t>
            </w:r>
          </w:p>
        </w:tc>
        <w:tc>
          <w:tcPr>
            <w:tcW w:w="636" w:type="pct"/>
            <w:gridSpan w:val="2"/>
            <w:tcBorders>
              <w:top w:val="single" w:sz="4" w:space="0" w:color="auto"/>
              <w:bottom w:val="single" w:sz="4" w:space="0" w:color="auto"/>
            </w:tcBorders>
            <w:noWrap/>
            <w:vAlign w:val="center"/>
          </w:tcPr>
          <w:p w14:paraId="38AFDBA3" w14:textId="77777777" w:rsidR="00164962" w:rsidRPr="00724F47" w:rsidRDefault="00A009CD" w:rsidP="0070428A">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17.1</w:t>
            </w:r>
            <w:r w:rsidR="00164962" w:rsidRPr="00724F47">
              <w:rPr>
                <w:rFonts w:ascii="Microsoft Sans Serif" w:eastAsia="Times New Roman" w:hAnsi="Microsoft Sans Serif" w:cs="Microsoft Sans Serif"/>
                <w:sz w:val="18"/>
                <w:szCs w:val="18"/>
                <w:lang w:val="en-CA" w:eastAsia="en-CA"/>
              </w:rPr>
              <w:t>%</w:t>
            </w:r>
          </w:p>
        </w:tc>
        <w:tc>
          <w:tcPr>
            <w:tcW w:w="636" w:type="pct"/>
            <w:tcBorders>
              <w:top w:val="single" w:sz="4" w:space="0" w:color="auto"/>
              <w:bottom w:val="single" w:sz="4" w:space="0" w:color="auto"/>
            </w:tcBorders>
            <w:noWrap/>
            <w:vAlign w:val="center"/>
          </w:tcPr>
          <w:p w14:paraId="4D89D00F" w14:textId="77777777" w:rsidR="00164962" w:rsidRPr="00724F47" w:rsidRDefault="00A009CD" w:rsidP="0070428A">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3.8</w:t>
            </w:r>
            <w:r w:rsidR="00164962" w:rsidRPr="00724F47">
              <w:rPr>
                <w:rFonts w:ascii="Microsoft Sans Serif" w:eastAsia="Times New Roman" w:hAnsi="Microsoft Sans Serif" w:cs="Microsoft Sans Serif"/>
                <w:sz w:val="18"/>
                <w:szCs w:val="18"/>
                <w:lang w:val="en-CA" w:eastAsia="en-CA"/>
              </w:rPr>
              <w:t>%</w:t>
            </w:r>
          </w:p>
        </w:tc>
      </w:tr>
      <w:tr w:rsidR="008F44D9" w:rsidRPr="009A43E4" w14:paraId="7E2C6366" w14:textId="77777777">
        <w:trPr>
          <w:trHeight w:val="510"/>
        </w:trPr>
        <w:tc>
          <w:tcPr>
            <w:tcW w:w="1693" w:type="pct"/>
            <w:tcBorders>
              <w:top w:val="single" w:sz="4" w:space="0" w:color="auto"/>
              <w:bottom w:val="single" w:sz="4" w:space="0" w:color="auto"/>
            </w:tcBorders>
          </w:tcPr>
          <w:p w14:paraId="7E86DC9C" w14:textId="77777777" w:rsidR="008F44D9" w:rsidRPr="00724F47" w:rsidRDefault="008F44D9" w:rsidP="0070428A">
            <w:pP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Participate in meetings that discussed academic research</w:t>
            </w:r>
          </w:p>
        </w:tc>
        <w:tc>
          <w:tcPr>
            <w:tcW w:w="635" w:type="pct"/>
            <w:tcBorders>
              <w:top w:val="single" w:sz="4" w:space="0" w:color="auto"/>
              <w:bottom w:val="single" w:sz="4" w:space="0" w:color="auto"/>
            </w:tcBorders>
            <w:shd w:val="clear" w:color="auto" w:fill="FFFF00"/>
            <w:noWrap/>
            <w:vAlign w:val="center"/>
          </w:tcPr>
          <w:p w14:paraId="16CA49A8" w14:textId="77777777" w:rsidR="008F44D9" w:rsidRPr="00724F47" w:rsidRDefault="00A009CD" w:rsidP="0070428A">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-33.2</w:t>
            </w:r>
            <w:r w:rsidR="008F44D9" w:rsidRPr="00724F47">
              <w:rPr>
                <w:rFonts w:ascii="Microsoft Sans Serif" w:eastAsia="Times New Roman" w:hAnsi="Microsoft Sans Serif" w:cs="Microsoft Sans Serif"/>
                <w:sz w:val="18"/>
                <w:szCs w:val="18"/>
                <w:lang w:val="en-CA" w:eastAsia="en-CA"/>
              </w:rPr>
              <w:t>%</w:t>
            </w:r>
          </w:p>
        </w:tc>
        <w:tc>
          <w:tcPr>
            <w:tcW w:w="635" w:type="pct"/>
            <w:tcBorders>
              <w:top w:val="single" w:sz="4" w:space="0" w:color="auto"/>
              <w:bottom w:val="single" w:sz="4" w:space="0" w:color="auto"/>
            </w:tcBorders>
            <w:noWrap/>
            <w:vAlign w:val="center"/>
          </w:tcPr>
          <w:p w14:paraId="6978649B" w14:textId="77777777" w:rsidR="008F44D9" w:rsidRPr="00724F47" w:rsidRDefault="00A009CD" w:rsidP="0070428A">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-8.4</w:t>
            </w:r>
            <w:r w:rsidR="008F44D9" w:rsidRPr="00724F47">
              <w:rPr>
                <w:rFonts w:ascii="Microsoft Sans Serif" w:eastAsia="Times New Roman" w:hAnsi="Microsoft Sans Serif" w:cs="Microsoft Sans Serif"/>
                <w:sz w:val="18"/>
                <w:szCs w:val="18"/>
                <w:lang w:val="en-CA" w:eastAsia="en-CA"/>
              </w:rPr>
              <w:t>%</w:t>
            </w:r>
          </w:p>
        </w:tc>
        <w:tc>
          <w:tcPr>
            <w:tcW w:w="765" w:type="pct"/>
            <w:tcBorders>
              <w:top w:val="single" w:sz="4" w:space="0" w:color="auto"/>
              <w:bottom w:val="single" w:sz="4" w:space="0" w:color="auto"/>
            </w:tcBorders>
            <w:noWrap/>
            <w:vAlign w:val="center"/>
          </w:tcPr>
          <w:p w14:paraId="4AB87F73" w14:textId="77777777" w:rsidR="008F44D9" w:rsidRPr="00724F47" w:rsidRDefault="00A009CD" w:rsidP="0070428A">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14.5</w:t>
            </w:r>
            <w:r w:rsidR="008F44D9" w:rsidRPr="00724F47">
              <w:rPr>
                <w:rFonts w:ascii="Microsoft Sans Serif" w:eastAsia="Times New Roman" w:hAnsi="Microsoft Sans Serif" w:cs="Microsoft Sans Serif"/>
                <w:sz w:val="18"/>
                <w:szCs w:val="18"/>
                <w:lang w:val="en-CA" w:eastAsia="en-CA"/>
              </w:rPr>
              <w:t>%</w:t>
            </w:r>
          </w:p>
        </w:tc>
        <w:tc>
          <w:tcPr>
            <w:tcW w:w="636" w:type="pct"/>
            <w:gridSpan w:val="2"/>
            <w:tcBorders>
              <w:top w:val="single" w:sz="4" w:space="0" w:color="auto"/>
              <w:bottom w:val="single" w:sz="4" w:space="0" w:color="auto"/>
            </w:tcBorders>
            <w:shd w:val="clear" w:color="auto" w:fill="92D050"/>
            <w:noWrap/>
            <w:vAlign w:val="center"/>
          </w:tcPr>
          <w:p w14:paraId="22FE4342" w14:textId="77777777" w:rsidR="008F44D9" w:rsidRPr="00724F47" w:rsidRDefault="00A009CD" w:rsidP="0070428A">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21.7</w:t>
            </w:r>
            <w:r w:rsidR="008F44D9" w:rsidRPr="00724F47">
              <w:rPr>
                <w:rFonts w:ascii="Microsoft Sans Serif" w:eastAsia="Times New Roman" w:hAnsi="Microsoft Sans Serif" w:cs="Microsoft Sans Serif"/>
                <w:sz w:val="18"/>
                <w:szCs w:val="18"/>
                <w:lang w:val="en-CA" w:eastAsia="en-CA"/>
              </w:rPr>
              <w:t>%</w:t>
            </w:r>
          </w:p>
        </w:tc>
        <w:tc>
          <w:tcPr>
            <w:tcW w:w="636" w:type="pct"/>
            <w:tcBorders>
              <w:top w:val="single" w:sz="4" w:space="0" w:color="auto"/>
              <w:bottom w:val="single" w:sz="4" w:space="0" w:color="auto"/>
            </w:tcBorders>
            <w:noWrap/>
            <w:vAlign w:val="center"/>
          </w:tcPr>
          <w:p w14:paraId="0F6704B6" w14:textId="77777777" w:rsidR="008F44D9" w:rsidRPr="00724F47" w:rsidRDefault="00A009CD" w:rsidP="0070428A">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6.4</w:t>
            </w:r>
            <w:r w:rsidR="008F44D9" w:rsidRPr="00724F47">
              <w:rPr>
                <w:rFonts w:ascii="Microsoft Sans Serif" w:eastAsia="Times New Roman" w:hAnsi="Microsoft Sans Serif" w:cs="Microsoft Sans Serif"/>
                <w:sz w:val="18"/>
                <w:szCs w:val="18"/>
                <w:lang w:val="en-CA" w:eastAsia="en-CA"/>
              </w:rPr>
              <w:t>%</w:t>
            </w:r>
          </w:p>
        </w:tc>
      </w:tr>
      <w:tr w:rsidR="008F44D9" w:rsidRPr="009A43E4" w14:paraId="3DDFBB39" w14:textId="77777777">
        <w:trPr>
          <w:trHeight w:val="510"/>
        </w:trPr>
        <w:tc>
          <w:tcPr>
            <w:tcW w:w="1693" w:type="pct"/>
            <w:tcBorders>
              <w:top w:val="single" w:sz="4" w:space="0" w:color="auto"/>
              <w:bottom w:val="single" w:sz="4" w:space="0" w:color="auto"/>
            </w:tcBorders>
          </w:tcPr>
          <w:p w14:paraId="07EE437C" w14:textId="77777777" w:rsidR="008F44D9" w:rsidRPr="00724F47" w:rsidRDefault="008F44D9" w:rsidP="008F44D9">
            <w:pP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Attend workshop/training sessions led by academics/Lead workshop/training sessions</w:t>
            </w:r>
          </w:p>
        </w:tc>
        <w:tc>
          <w:tcPr>
            <w:tcW w:w="635" w:type="pct"/>
            <w:tcBorders>
              <w:top w:val="single" w:sz="4" w:space="0" w:color="auto"/>
              <w:bottom w:val="single" w:sz="4" w:space="0" w:color="auto"/>
            </w:tcBorders>
            <w:shd w:val="clear" w:color="auto" w:fill="FFFF00"/>
            <w:noWrap/>
            <w:vAlign w:val="center"/>
          </w:tcPr>
          <w:p w14:paraId="5A9F903C" w14:textId="77777777" w:rsidR="008F44D9" w:rsidRPr="00724F47" w:rsidRDefault="00A009CD" w:rsidP="0070428A">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-46.2</w:t>
            </w:r>
            <w:r w:rsidR="008F44D9" w:rsidRPr="00724F47">
              <w:rPr>
                <w:rFonts w:ascii="Microsoft Sans Serif" w:eastAsia="Times New Roman" w:hAnsi="Microsoft Sans Serif" w:cs="Microsoft Sans Serif"/>
                <w:sz w:val="18"/>
                <w:szCs w:val="18"/>
                <w:lang w:val="en-CA" w:eastAsia="en-CA"/>
              </w:rPr>
              <w:t>%</w:t>
            </w:r>
          </w:p>
        </w:tc>
        <w:tc>
          <w:tcPr>
            <w:tcW w:w="635" w:type="pct"/>
            <w:tcBorders>
              <w:top w:val="single" w:sz="4" w:space="0" w:color="auto"/>
              <w:bottom w:val="single" w:sz="4" w:space="0" w:color="auto"/>
            </w:tcBorders>
            <w:noWrap/>
            <w:vAlign w:val="center"/>
          </w:tcPr>
          <w:p w14:paraId="366D43BC" w14:textId="77777777" w:rsidR="008F44D9" w:rsidRPr="00724F47" w:rsidRDefault="00A009CD" w:rsidP="0070428A">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-2.8</w:t>
            </w:r>
            <w:r w:rsidR="008F44D9" w:rsidRPr="00724F47">
              <w:rPr>
                <w:rFonts w:ascii="Microsoft Sans Serif" w:eastAsia="Times New Roman" w:hAnsi="Microsoft Sans Serif" w:cs="Microsoft Sans Serif"/>
                <w:sz w:val="18"/>
                <w:szCs w:val="18"/>
                <w:lang w:val="en-CA" w:eastAsia="en-CA"/>
              </w:rPr>
              <w:t>%</w:t>
            </w:r>
          </w:p>
        </w:tc>
        <w:tc>
          <w:tcPr>
            <w:tcW w:w="765" w:type="pct"/>
            <w:tcBorders>
              <w:top w:val="single" w:sz="4" w:space="0" w:color="auto"/>
              <w:bottom w:val="single" w:sz="4" w:space="0" w:color="auto"/>
            </w:tcBorders>
            <w:shd w:val="clear" w:color="auto" w:fill="92D050"/>
            <w:noWrap/>
            <w:vAlign w:val="center"/>
          </w:tcPr>
          <w:p w14:paraId="18CC5964" w14:textId="77777777" w:rsidR="008F44D9" w:rsidRPr="00724F47" w:rsidRDefault="00A009CD" w:rsidP="0070428A">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25.6</w:t>
            </w:r>
            <w:r w:rsidR="008F44D9" w:rsidRPr="00724F47">
              <w:rPr>
                <w:rFonts w:ascii="Microsoft Sans Serif" w:eastAsia="Times New Roman" w:hAnsi="Microsoft Sans Serif" w:cs="Microsoft Sans Serif"/>
                <w:sz w:val="18"/>
                <w:szCs w:val="18"/>
                <w:lang w:val="en-CA" w:eastAsia="en-CA"/>
              </w:rPr>
              <w:t>%</w:t>
            </w:r>
          </w:p>
        </w:tc>
        <w:tc>
          <w:tcPr>
            <w:tcW w:w="636" w:type="pct"/>
            <w:gridSpan w:val="2"/>
            <w:tcBorders>
              <w:top w:val="single" w:sz="4" w:space="0" w:color="auto"/>
              <w:bottom w:val="single" w:sz="4" w:space="0" w:color="auto"/>
            </w:tcBorders>
            <w:noWrap/>
            <w:vAlign w:val="center"/>
          </w:tcPr>
          <w:p w14:paraId="728E1FDA" w14:textId="77777777" w:rsidR="008F44D9" w:rsidRPr="00724F47" w:rsidRDefault="00A009CD" w:rsidP="0070428A">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15.3</w:t>
            </w:r>
            <w:r w:rsidR="008F44D9" w:rsidRPr="00724F47">
              <w:rPr>
                <w:rFonts w:ascii="Microsoft Sans Serif" w:eastAsia="Times New Roman" w:hAnsi="Microsoft Sans Serif" w:cs="Microsoft Sans Serif"/>
                <w:sz w:val="18"/>
                <w:szCs w:val="18"/>
                <w:lang w:val="en-CA" w:eastAsia="en-CA"/>
              </w:rPr>
              <w:t>%</w:t>
            </w:r>
          </w:p>
        </w:tc>
        <w:tc>
          <w:tcPr>
            <w:tcW w:w="636" w:type="pct"/>
            <w:tcBorders>
              <w:top w:val="single" w:sz="4" w:space="0" w:color="auto"/>
              <w:bottom w:val="single" w:sz="4" w:space="0" w:color="auto"/>
            </w:tcBorders>
            <w:noWrap/>
            <w:vAlign w:val="center"/>
          </w:tcPr>
          <w:p w14:paraId="5168D5D2" w14:textId="77777777" w:rsidR="008F44D9" w:rsidRPr="00724F47" w:rsidRDefault="00A009CD" w:rsidP="0070428A">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8.1</w:t>
            </w:r>
            <w:r w:rsidR="008F44D9" w:rsidRPr="00724F47">
              <w:rPr>
                <w:rFonts w:ascii="Microsoft Sans Serif" w:eastAsia="Times New Roman" w:hAnsi="Microsoft Sans Serif" w:cs="Microsoft Sans Serif"/>
                <w:sz w:val="18"/>
                <w:szCs w:val="18"/>
                <w:lang w:val="en-CA" w:eastAsia="en-CA"/>
              </w:rPr>
              <w:t>%</w:t>
            </w:r>
          </w:p>
        </w:tc>
      </w:tr>
      <w:tr w:rsidR="008F44D9" w:rsidRPr="009A43E4" w14:paraId="79B3C18C" w14:textId="77777777">
        <w:trPr>
          <w:trHeight w:val="765"/>
        </w:trPr>
        <w:tc>
          <w:tcPr>
            <w:tcW w:w="1693" w:type="pct"/>
            <w:tcBorders>
              <w:top w:val="single" w:sz="4" w:space="0" w:color="auto"/>
              <w:bottom w:val="single" w:sz="4" w:space="0" w:color="auto"/>
            </w:tcBorders>
          </w:tcPr>
          <w:p w14:paraId="4B1E3CB1" w14:textId="77777777" w:rsidR="008F44D9" w:rsidRPr="00724F47" w:rsidRDefault="008F44D9" w:rsidP="0070428A">
            <w:pP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Commission/Being requested academic research reports from policy and public administration schools/programs</w:t>
            </w:r>
          </w:p>
        </w:tc>
        <w:tc>
          <w:tcPr>
            <w:tcW w:w="635" w:type="pct"/>
            <w:tcBorders>
              <w:top w:val="single" w:sz="4" w:space="0" w:color="auto"/>
              <w:bottom w:val="single" w:sz="4" w:space="0" w:color="auto"/>
            </w:tcBorders>
            <w:shd w:val="clear" w:color="auto" w:fill="FFFF00"/>
            <w:noWrap/>
            <w:vAlign w:val="center"/>
          </w:tcPr>
          <w:p w14:paraId="620B3AF9" w14:textId="77777777" w:rsidR="008F44D9" w:rsidRPr="00724F47" w:rsidRDefault="00A009CD" w:rsidP="0070428A">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-35.2</w:t>
            </w:r>
            <w:r w:rsidR="008F44D9" w:rsidRPr="00724F47">
              <w:rPr>
                <w:rFonts w:ascii="Microsoft Sans Serif" w:eastAsia="Times New Roman" w:hAnsi="Microsoft Sans Serif" w:cs="Microsoft Sans Serif"/>
                <w:sz w:val="18"/>
                <w:szCs w:val="18"/>
                <w:lang w:val="en-CA" w:eastAsia="en-CA"/>
              </w:rPr>
              <w:t>%</w:t>
            </w:r>
          </w:p>
        </w:tc>
        <w:tc>
          <w:tcPr>
            <w:tcW w:w="635" w:type="pct"/>
            <w:tcBorders>
              <w:top w:val="single" w:sz="4" w:space="0" w:color="auto"/>
              <w:bottom w:val="single" w:sz="4" w:space="0" w:color="auto"/>
            </w:tcBorders>
            <w:noWrap/>
            <w:vAlign w:val="center"/>
          </w:tcPr>
          <w:p w14:paraId="63E25924" w14:textId="77777777" w:rsidR="008F44D9" w:rsidRPr="00724F47" w:rsidRDefault="00A009CD" w:rsidP="0070428A">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9.6</w:t>
            </w:r>
            <w:r w:rsidR="008F44D9" w:rsidRPr="00724F47">
              <w:rPr>
                <w:rFonts w:ascii="Microsoft Sans Serif" w:eastAsia="Times New Roman" w:hAnsi="Microsoft Sans Serif" w:cs="Microsoft Sans Serif"/>
                <w:sz w:val="18"/>
                <w:szCs w:val="18"/>
                <w:lang w:val="en-CA" w:eastAsia="en-CA"/>
              </w:rPr>
              <w:t>%</w:t>
            </w:r>
          </w:p>
        </w:tc>
        <w:tc>
          <w:tcPr>
            <w:tcW w:w="765" w:type="pct"/>
            <w:tcBorders>
              <w:top w:val="single" w:sz="4" w:space="0" w:color="auto"/>
              <w:bottom w:val="single" w:sz="4" w:space="0" w:color="auto"/>
            </w:tcBorders>
            <w:noWrap/>
            <w:vAlign w:val="center"/>
          </w:tcPr>
          <w:p w14:paraId="7D82AF7D" w14:textId="77777777" w:rsidR="008F44D9" w:rsidRPr="00724F47" w:rsidRDefault="00A009CD" w:rsidP="0070428A">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12.2</w:t>
            </w:r>
            <w:r w:rsidR="008F44D9" w:rsidRPr="00724F47">
              <w:rPr>
                <w:rFonts w:ascii="Microsoft Sans Serif" w:eastAsia="Times New Roman" w:hAnsi="Microsoft Sans Serif" w:cs="Microsoft Sans Serif"/>
                <w:sz w:val="18"/>
                <w:szCs w:val="18"/>
                <w:lang w:val="en-CA" w:eastAsia="en-CA"/>
              </w:rPr>
              <w:t>%</w:t>
            </w:r>
          </w:p>
        </w:tc>
        <w:tc>
          <w:tcPr>
            <w:tcW w:w="636" w:type="pct"/>
            <w:gridSpan w:val="2"/>
            <w:tcBorders>
              <w:top w:val="single" w:sz="4" w:space="0" w:color="auto"/>
              <w:bottom w:val="single" w:sz="4" w:space="0" w:color="auto"/>
            </w:tcBorders>
            <w:noWrap/>
            <w:vAlign w:val="center"/>
          </w:tcPr>
          <w:p w14:paraId="19934074" w14:textId="77777777" w:rsidR="008F44D9" w:rsidRPr="00724F47" w:rsidRDefault="00A009CD" w:rsidP="0070428A">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9.3</w:t>
            </w:r>
            <w:r w:rsidR="008F44D9" w:rsidRPr="00724F47">
              <w:rPr>
                <w:rFonts w:ascii="Microsoft Sans Serif" w:eastAsia="Times New Roman" w:hAnsi="Microsoft Sans Serif" w:cs="Microsoft Sans Serif"/>
                <w:sz w:val="18"/>
                <w:szCs w:val="18"/>
                <w:lang w:val="en-CA" w:eastAsia="en-CA"/>
              </w:rPr>
              <w:t>%</w:t>
            </w:r>
          </w:p>
        </w:tc>
        <w:tc>
          <w:tcPr>
            <w:tcW w:w="636" w:type="pct"/>
            <w:tcBorders>
              <w:top w:val="single" w:sz="4" w:space="0" w:color="auto"/>
              <w:bottom w:val="single" w:sz="4" w:space="0" w:color="auto"/>
            </w:tcBorders>
            <w:noWrap/>
            <w:vAlign w:val="center"/>
          </w:tcPr>
          <w:p w14:paraId="411C674D" w14:textId="77777777" w:rsidR="008F44D9" w:rsidRPr="00724F47" w:rsidRDefault="00A009CD" w:rsidP="0070428A">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4.1</w:t>
            </w:r>
            <w:r w:rsidR="008F44D9" w:rsidRPr="00724F47">
              <w:rPr>
                <w:rFonts w:ascii="Microsoft Sans Serif" w:eastAsia="Times New Roman" w:hAnsi="Microsoft Sans Serif" w:cs="Microsoft Sans Serif"/>
                <w:sz w:val="18"/>
                <w:szCs w:val="18"/>
                <w:lang w:val="en-CA" w:eastAsia="en-CA"/>
              </w:rPr>
              <w:t>%</w:t>
            </w:r>
          </w:p>
        </w:tc>
      </w:tr>
      <w:tr w:rsidR="008F44D9" w:rsidRPr="009A43E4" w14:paraId="45530CF7" w14:textId="77777777">
        <w:trPr>
          <w:trHeight w:val="510"/>
        </w:trPr>
        <w:tc>
          <w:tcPr>
            <w:tcW w:w="1693" w:type="pct"/>
            <w:tcBorders>
              <w:top w:val="single" w:sz="4" w:space="0" w:color="auto"/>
              <w:bottom w:val="single" w:sz="4" w:space="0" w:color="auto"/>
            </w:tcBorders>
          </w:tcPr>
          <w:p w14:paraId="00150A21" w14:textId="77777777" w:rsidR="008F44D9" w:rsidRPr="00724F47" w:rsidRDefault="008F44D9" w:rsidP="0070428A">
            <w:pP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Seek/Give informal advice from members of these institutions</w:t>
            </w:r>
          </w:p>
        </w:tc>
        <w:tc>
          <w:tcPr>
            <w:tcW w:w="635" w:type="pct"/>
            <w:tcBorders>
              <w:top w:val="single" w:sz="4" w:space="0" w:color="auto"/>
              <w:bottom w:val="single" w:sz="4" w:space="0" w:color="auto"/>
            </w:tcBorders>
            <w:shd w:val="clear" w:color="auto" w:fill="FFFF00"/>
            <w:noWrap/>
            <w:vAlign w:val="center"/>
          </w:tcPr>
          <w:p w14:paraId="4232479D" w14:textId="77777777" w:rsidR="008F44D9" w:rsidRPr="00724F47" w:rsidRDefault="00A009CD" w:rsidP="0070428A">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-31.8</w:t>
            </w:r>
            <w:r w:rsidR="008F44D9" w:rsidRPr="00724F47">
              <w:rPr>
                <w:rFonts w:ascii="Microsoft Sans Serif" w:eastAsia="Times New Roman" w:hAnsi="Microsoft Sans Serif" w:cs="Microsoft Sans Serif"/>
                <w:sz w:val="18"/>
                <w:szCs w:val="18"/>
                <w:lang w:val="en-CA" w:eastAsia="en-CA"/>
              </w:rPr>
              <w:t>%</w:t>
            </w:r>
          </w:p>
        </w:tc>
        <w:tc>
          <w:tcPr>
            <w:tcW w:w="635" w:type="pct"/>
            <w:tcBorders>
              <w:top w:val="single" w:sz="4" w:space="0" w:color="auto"/>
              <w:bottom w:val="single" w:sz="4" w:space="0" w:color="auto"/>
            </w:tcBorders>
            <w:noWrap/>
            <w:vAlign w:val="center"/>
          </w:tcPr>
          <w:p w14:paraId="1DF231A6" w14:textId="77777777" w:rsidR="008F44D9" w:rsidRPr="00724F47" w:rsidRDefault="00A009CD" w:rsidP="0070428A">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-1.8</w:t>
            </w:r>
            <w:r w:rsidR="008F44D9" w:rsidRPr="00724F47">
              <w:rPr>
                <w:rFonts w:ascii="Microsoft Sans Serif" w:eastAsia="Times New Roman" w:hAnsi="Microsoft Sans Serif" w:cs="Microsoft Sans Serif"/>
                <w:sz w:val="18"/>
                <w:szCs w:val="18"/>
                <w:lang w:val="en-CA" w:eastAsia="en-CA"/>
              </w:rPr>
              <w:t>%</w:t>
            </w:r>
          </w:p>
        </w:tc>
        <w:tc>
          <w:tcPr>
            <w:tcW w:w="765" w:type="pct"/>
            <w:tcBorders>
              <w:top w:val="single" w:sz="4" w:space="0" w:color="auto"/>
              <w:bottom w:val="single" w:sz="4" w:space="0" w:color="auto"/>
            </w:tcBorders>
            <w:noWrap/>
            <w:vAlign w:val="center"/>
          </w:tcPr>
          <w:p w14:paraId="6F6765B9" w14:textId="77777777" w:rsidR="008F44D9" w:rsidRPr="00724F47" w:rsidRDefault="00A009CD" w:rsidP="0070428A">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13.1</w:t>
            </w:r>
            <w:r w:rsidR="008F44D9" w:rsidRPr="00724F47">
              <w:rPr>
                <w:rFonts w:ascii="Microsoft Sans Serif" w:eastAsia="Times New Roman" w:hAnsi="Microsoft Sans Serif" w:cs="Microsoft Sans Serif"/>
                <w:sz w:val="18"/>
                <w:szCs w:val="18"/>
                <w:lang w:val="en-CA" w:eastAsia="en-CA"/>
              </w:rPr>
              <w:t>%</w:t>
            </w:r>
          </w:p>
        </w:tc>
        <w:tc>
          <w:tcPr>
            <w:tcW w:w="636" w:type="pct"/>
            <w:gridSpan w:val="2"/>
            <w:tcBorders>
              <w:top w:val="single" w:sz="4" w:space="0" w:color="auto"/>
              <w:bottom w:val="single" w:sz="4" w:space="0" w:color="auto"/>
            </w:tcBorders>
            <w:noWrap/>
            <w:vAlign w:val="center"/>
          </w:tcPr>
          <w:p w14:paraId="6CB661CA" w14:textId="77777777" w:rsidR="008F44D9" w:rsidRPr="00724F47" w:rsidRDefault="00A009CD" w:rsidP="0070428A">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16.3</w:t>
            </w:r>
            <w:r w:rsidR="008F44D9" w:rsidRPr="00724F47">
              <w:rPr>
                <w:rFonts w:ascii="Microsoft Sans Serif" w:eastAsia="Times New Roman" w:hAnsi="Microsoft Sans Serif" w:cs="Microsoft Sans Serif"/>
                <w:sz w:val="18"/>
                <w:szCs w:val="18"/>
                <w:lang w:val="en-CA" w:eastAsia="en-CA"/>
              </w:rPr>
              <w:t>%</w:t>
            </w:r>
          </w:p>
        </w:tc>
        <w:tc>
          <w:tcPr>
            <w:tcW w:w="636" w:type="pct"/>
            <w:tcBorders>
              <w:top w:val="single" w:sz="4" w:space="0" w:color="auto"/>
              <w:bottom w:val="single" w:sz="4" w:space="0" w:color="auto"/>
            </w:tcBorders>
            <w:noWrap/>
            <w:vAlign w:val="center"/>
          </w:tcPr>
          <w:p w14:paraId="2BD27EB1" w14:textId="77777777" w:rsidR="008F44D9" w:rsidRPr="00724F47" w:rsidRDefault="00A009CD" w:rsidP="0070428A">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4.2</w:t>
            </w:r>
            <w:r w:rsidR="008F44D9" w:rsidRPr="00724F47">
              <w:rPr>
                <w:rFonts w:ascii="Microsoft Sans Serif" w:eastAsia="Times New Roman" w:hAnsi="Microsoft Sans Serif" w:cs="Microsoft Sans Serif"/>
                <w:sz w:val="18"/>
                <w:szCs w:val="18"/>
                <w:lang w:val="en-CA" w:eastAsia="en-CA"/>
              </w:rPr>
              <w:t>%</w:t>
            </w:r>
          </w:p>
        </w:tc>
      </w:tr>
      <w:tr w:rsidR="008F44D9" w:rsidRPr="009A43E4" w14:paraId="723ADE16" w14:textId="77777777">
        <w:trPr>
          <w:trHeight w:val="510"/>
        </w:trPr>
        <w:tc>
          <w:tcPr>
            <w:tcW w:w="1693" w:type="pct"/>
            <w:tcBorders>
              <w:top w:val="single" w:sz="4" w:space="0" w:color="auto"/>
              <w:bottom w:val="single" w:sz="4" w:space="0" w:color="auto"/>
            </w:tcBorders>
          </w:tcPr>
          <w:p w14:paraId="1E253035" w14:textId="77777777" w:rsidR="008F44D9" w:rsidRPr="00724F47" w:rsidRDefault="008F44D9" w:rsidP="0070428A">
            <w:pP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Participate in a network with members of research institutions/Executives</w:t>
            </w:r>
          </w:p>
        </w:tc>
        <w:tc>
          <w:tcPr>
            <w:tcW w:w="635" w:type="pct"/>
            <w:tcBorders>
              <w:top w:val="single" w:sz="4" w:space="0" w:color="auto"/>
              <w:bottom w:val="single" w:sz="4" w:space="0" w:color="auto"/>
            </w:tcBorders>
            <w:shd w:val="clear" w:color="auto" w:fill="FFFF00"/>
            <w:noWrap/>
            <w:vAlign w:val="center"/>
          </w:tcPr>
          <w:p w14:paraId="13B717E1" w14:textId="77777777" w:rsidR="008F44D9" w:rsidRPr="00724F47" w:rsidRDefault="00A009CD" w:rsidP="0070428A">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-31.8</w:t>
            </w:r>
            <w:r w:rsidR="008F44D9" w:rsidRPr="00724F47">
              <w:rPr>
                <w:rFonts w:ascii="Microsoft Sans Serif" w:eastAsia="Times New Roman" w:hAnsi="Microsoft Sans Serif" w:cs="Microsoft Sans Serif"/>
                <w:sz w:val="18"/>
                <w:szCs w:val="18"/>
                <w:lang w:val="en-CA" w:eastAsia="en-CA"/>
              </w:rPr>
              <w:t>%</w:t>
            </w:r>
          </w:p>
        </w:tc>
        <w:tc>
          <w:tcPr>
            <w:tcW w:w="635" w:type="pct"/>
            <w:tcBorders>
              <w:top w:val="single" w:sz="4" w:space="0" w:color="auto"/>
              <w:bottom w:val="single" w:sz="4" w:space="0" w:color="auto"/>
            </w:tcBorders>
            <w:noWrap/>
            <w:vAlign w:val="center"/>
          </w:tcPr>
          <w:p w14:paraId="721BD62C" w14:textId="77777777" w:rsidR="008F44D9" w:rsidRPr="00724F47" w:rsidRDefault="00A009CD" w:rsidP="0070428A">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3.1</w:t>
            </w:r>
            <w:r w:rsidR="008F44D9" w:rsidRPr="00724F47">
              <w:rPr>
                <w:rFonts w:ascii="Microsoft Sans Serif" w:eastAsia="Times New Roman" w:hAnsi="Microsoft Sans Serif" w:cs="Microsoft Sans Serif"/>
                <w:sz w:val="18"/>
                <w:szCs w:val="18"/>
                <w:lang w:val="en-CA" w:eastAsia="en-CA"/>
              </w:rPr>
              <w:t>%</w:t>
            </w:r>
          </w:p>
        </w:tc>
        <w:tc>
          <w:tcPr>
            <w:tcW w:w="765" w:type="pct"/>
            <w:tcBorders>
              <w:top w:val="single" w:sz="4" w:space="0" w:color="auto"/>
              <w:bottom w:val="single" w:sz="4" w:space="0" w:color="auto"/>
            </w:tcBorders>
            <w:noWrap/>
            <w:vAlign w:val="center"/>
          </w:tcPr>
          <w:p w14:paraId="30F4421B" w14:textId="77777777" w:rsidR="008F44D9" w:rsidRPr="00724F47" w:rsidRDefault="00A009CD" w:rsidP="0070428A">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14.0</w:t>
            </w:r>
            <w:r w:rsidR="008F44D9" w:rsidRPr="00724F47">
              <w:rPr>
                <w:rFonts w:ascii="Microsoft Sans Serif" w:eastAsia="Times New Roman" w:hAnsi="Microsoft Sans Serif" w:cs="Microsoft Sans Serif"/>
                <w:sz w:val="18"/>
                <w:szCs w:val="18"/>
                <w:lang w:val="en-CA" w:eastAsia="en-CA"/>
              </w:rPr>
              <w:t>%</w:t>
            </w:r>
          </w:p>
        </w:tc>
        <w:tc>
          <w:tcPr>
            <w:tcW w:w="636" w:type="pct"/>
            <w:gridSpan w:val="2"/>
            <w:tcBorders>
              <w:top w:val="single" w:sz="4" w:space="0" w:color="auto"/>
              <w:bottom w:val="single" w:sz="4" w:space="0" w:color="auto"/>
            </w:tcBorders>
            <w:noWrap/>
            <w:vAlign w:val="center"/>
          </w:tcPr>
          <w:p w14:paraId="2598E3D8" w14:textId="77777777" w:rsidR="008F44D9" w:rsidRPr="00724F47" w:rsidRDefault="00A009CD" w:rsidP="0070428A">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8.4</w:t>
            </w:r>
            <w:r w:rsidR="008F44D9" w:rsidRPr="00724F47">
              <w:rPr>
                <w:rFonts w:ascii="Microsoft Sans Serif" w:eastAsia="Times New Roman" w:hAnsi="Microsoft Sans Serif" w:cs="Microsoft Sans Serif"/>
                <w:sz w:val="18"/>
                <w:szCs w:val="18"/>
                <w:lang w:val="en-CA" w:eastAsia="en-CA"/>
              </w:rPr>
              <w:t>%</w:t>
            </w:r>
          </w:p>
        </w:tc>
        <w:tc>
          <w:tcPr>
            <w:tcW w:w="636" w:type="pct"/>
            <w:tcBorders>
              <w:top w:val="single" w:sz="4" w:space="0" w:color="auto"/>
              <w:bottom w:val="single" w:sz="4" w:space="0" w:color="auto"/>
            </w:tcBorders>
            <w:noWrap/>
            <w:vAlign w:val="center"/>
          </w:tcPr>
          <w:p w14:paraId="7569ADBB" w14:textId="77777777" w:rsidR="008F44D9" w:rsidRPr="00724F47" w:rsidRDefault="00A009CD" w:rsidP="0070428A">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6.3</w:t>
            </w:r>
            <w:r w:rsidR="008F44D9" w:rsidRPr="00724F47">
              <w:rPr>
                <w:rFonts w:ascii="Microsoft Sans Serif" w:eastAsia="Times New Roman" w:hAnsi="Microsoft Sans Serif" w:cs="Microsoft Sans Serif"/>
                <w:sz w:val="18"/>
                <w:szCs w:val="18"/>
                <w:lang w:val="en-CA" w:eastAsia="en-CA"/>
              </w:rPr>
              <w:t>%</w:t>
            </w:r>
          </w:p>
        </w:tc>
      </w:tr>
      <w:tr w:rsidR="008F44D9" w:rsidRPr="009A43E4" w14:paraId="38BFD67D" w14:textId="77777777">
        <w:trPr>
          <w:trHeight w:val="510"/>
        </w:trPr>
        <w:tc>
          <w:tcPr>
            <w:tcW w:w="1693" w:type="pct"/>
            <w:tcBorders>
              <w:top w:val="single" w:sz="4" w:space="0" w:color="auto"/>
              <w:bottom w:val="single" w:sz="4" w:space="0" w:color="auto"/>
            </w:tcBorders>
          </w:tcPr>
          <w:p w14:paraId="5766D545" w14:textId="77777777" w:rsidR="008F44D9" w:rsidRPr="00724F47" w:rsidRDefault="008F44D9" w:rsidP="0070428A">
            <w:pP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Sit on a panel, roundtable, etc. with members of research institutions/Executives</w:t>
            </w:r>
          </w:p>
        </w:tc>
        <w:tc>
          <w:tcPr>
            <w:tcW w:w="635" w:type="pct"/>
            <w:tcBorders>
              <w:top w:val="single" w:sz="4" w:space="0" w:color="auto"/>
              <w:bottom w:val="single" w:sz="4" w:space="0" w:color="auto"/>
            </w:tcBorders>
            <w:shd w:val="clear" w:color="auto" w:fill="FFFF00"/>
            <w:noWrap/>
            <w:vAlign w:val="center"/>
          </w:tcPr>
          <w:p w14:paraId="1F10ABD5" w14:textId="77777777" w:rsidR="008F44D9" w:rsidRPr="00724F47" w:rsidRDefault="00A009CD" w:rsidP="0070428A">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-25.7</w:t>
            </w:r>
            <w:r w:rsidR="008F44D9" w:rsidRPr="00724F47">
              <w:rPr>
                <w:rFonts w:ascii="Microsoft Sans Serif" w:eastAsia="Times New Roman" w:hAnsi="Microsoft Sans Serif" w:cs="Microsoft Sans Serif"/>
                <w:sz w:val="18"/>
                <w:szCs w:val="18"/>
                <w:lang w:val="en-CA" w:eastAsia="en-CA"/>
              </w:rPr>
              <w:t>%</w:t>
            </w:r>
          </w:p>
        </w:tc>
        <w:tc>
          <w:tcPr>
            <w:tcW w:w="635" w:type="pct"/>
            <w:tcBorders>
              <w:top w:val="single" w:sz="4" w:space="0" w:color="auto"/>
              <w:bottom w:val="single" w:sz="4" w:space="0" w:color="auto"/>
            </w:tcBorders>
            <w:noWrap/>
            <w:vAlign w:val="center"/>
          </w:tcPr>
          <w:p w14:paraId="5D9CD634" w14:textId="77777777" w:rsidR="008F44D9" w:rsidRPr="00724F47" w:rsidRDefault="00A009CD" w:rsidP="0070428A">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-6.5</w:t>
            </w:r>
            <w:r w:rsidR="008F44D9" w:rsidRPr="00724F47">
              <w:rPr>
                <w:rFonts w:ascii="Microsoft Sans Serif" w:eastAsia="Times New Roman" w:hAnsi="Microsoft Sans Serif" w:cs="Microsoft Sans Serif"/>
                <w:sz w:val="18"/>
                <w:szCs w:val="18"/>
                <w:lang w:val="en-CA" w:eastAsia="en-CA"/>
              </w:rPr>
              <w:t>%</w:t>
            </w:r>
          </w:p>
        </w:tc>
        <w:tc>
          <w:tcPr>
            <w:tcW w:w="765" w:type="pct"/>
            <w:tcBorders>
              <w:top w:val="single" w:sz="4" w:space="0" w:color="auto"/>
              <w:bottom w:val="single" w:sz="4" w:space="0" w:color="auto"/>
            </w:tcBorders>
            <w:noWrap/>
            <w:vAlign w:val="center"/>
          </w:tcPr>
          <w:p w14:paraId="64D28233" w14:textId="77777777" w:rsidR="008F44D9" w:rsidRPr="00724F47" w:rsidRDefault="00A009CD" w:rsidP="0070428A">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18.0</w:t>
            </w:r>
            <w:r w:rsidR="008F44D9" w:rsidRPr="00724F47">
              <w:rPr>
                <w:rFonts w:ascii="Microsoft Sans Serif" w:eastAsia="Times New Roman" w:hAnsi="Microsoft Sans Serif" w:cs="Microsoft Sans Serif"/>
                <w:sz w:val="18"/>
                <w:szCs w:val="18"/>
                <w:lang w:val="en-CA" w:eastAsia="en-CA"/>
              </w:rPr>
              <w:t>%</w:t>
            </w:r>
          </w:p>
        </w:tc>
        <w:tc>
          <w:tcPr>
            <w:tcW w:w="636" w:type="pct"/>
            <w:gridSpan w:val="2"/>
            <w:tcBorders>
              <w:top w:val="single" w:sz="4" w:space="0" w:color="auto"/>
              <w:bottom w:val="single" w:sz="4" w:space="0" w:color="auto"/>
            </w:tcBorders>
            <w:noWrap/>
            <w:vAlign w:val="center"/>
          </w:tcPr>
          <w:p w14:paraId="7AD9BB49" w14:textId="77777777" w:rsidR="008F44D9" w:rsidRPr="00724F47" w:rsidRDefault="00A009CD" w:rsidP="0070428A">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9.3</w:t>
            </w:r>
            <w:r w:rsidR="008F44D9" w:rsidRPr="00724F47">
              <w:rPr>
                <w:rFonts w:ascii="Microsoft Sans Serif" w:eastAsia="Times New Roman" w:hAnsi="Microsoft Sans Serif" w:cs="Microsoft Sans Serif"/>
                <w:sz w:val="18"/>
                <w:szCs w:val="18"/>
                <w:lang w:val="en-CA" w:eastAsia="en-CA"/>
              </w:rPr>
              <w:t>%</w:t>
            </w:r>
          </w:p>
        </w:tc>
        <w:tc>
          <w:tcPr>
            <w:tcW w:w="636" w:type="pct"/>
            <w:tcBorders>
              <w:top w:val="single" w:sz="4" w:space="0" w:color="auto"/>
              <w:bottom w:val="single" w:sz="4" w:space="0" w:color="auto"/>
            </w:tcBorders>
            <w:noWrap/>
            <w:vAlign w:val="center"/>
          </w:tcPr>
          <w:p w14:paraId="0DF2DAC8" w14:textId="77777777" w:rsidR="008F44D9" w:rsidRPr="00724F47" w:rsidRDefault="00A009CD" w:rsidP="0070428A">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5.8</w:t>
            </w:r>
            <w:r w:rsidR="008F44D9" w:rsidRPr="00724F47">
              <w:rPr>
                <w:rFonts w:ascii="Microsoft Sans Serif" w:eastAsia="Times New Roman" w:hAnsi="Microsoft Sans Serif" w:cs="Microsoft Sans Serif"/>
                <w:sz w:val="18"/>
                <w:szCs w:val="18"/>
                <w:lang w:val="en-CA" w:eastAsia="en-CA"/>
              </w:rPr>
              <w:t>%</w:t>
            </w:r>
          </w:p>
        </w:tc>
      </w:tr>
      <w:tr w:rsidR="008F44D9" w:rsidRPr="009A43E4" w14:paraId="71337C41" w14:textId="77777777">
        <w:trPr>
          <w:trHeight w:val="510"/>
        </w:trPr>
        <w:tc>
          <w:tcPr>
            <w:tcW w:w="1693" w:type="pct"/>
            <w:tcBorders>
              <w:top w:val="single" w:sz="4" w:space="0" w:color="auto"/>
            </w:tcBorders>
          </w:tcPr>
          <w:p w14:paraId="32945D37" w14:textId="77777777" w:rsidR="008F44D9" w:rsidRPr="00724F47" w:rsidRDefault="008F44D9" w:rsidP="0070428A">
            <w:pP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Second personnel to (or from) an academic or research institution</w:t>
            </w:r>
          </w:p>
        </w:tc>
        <w:tc>
          <w:tcPr>
            <w:tcW w:w="635" w:type="pct"/>
            <w:tcBorders>
              <w:top w:val="single" w:sz="4" w:space="0" w:color="auto"/>
            </w:tcBorders>
            <w:shd w:val="clear" w:color="auto" w:fill="FFFF00"/>
            <w:noWrap/>
            <w:vAlign w:val="center"/>
          </w:tcPr>
          <w:p w14:paraId="00C8DEBA" w14:textId="77777777" w:rsidR="008F44D9" w:rsidRPr="00724F47" w:rsidRDefault="00A009CD" w:rsidP="0070428A">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-49.8</w:t>
            </w:r>
            <w:r w:rsidR="008F44D9" w:rsidRPr="00724F47">
              <w:rPr>
                <w:rFonts w:ascii="Microsoft Sans Serif" w:eastAsia="Times New Roman" w:hAnsi="Microsoft Sans Serif" w:cs="Microsoft Sans Serif"/>
                <w:sz w:val="18"/>
                <w:szCs w:val="18"/>
                <w:lang w:val="en-CA" w:eastAsia="en-CA"/>
              </w:rPr>
              <w:t>%</w:t>
            </w:r>
          </w:p>
        </w:tc>
        <w:tc>
          <w:tcPr>
            <w:tcW w:w="635" w:type="pct"/>
            <w:tcBorders>
              <w:top w:val="single" w:sz="4" w:space="0" w:color="auto"/>
            </w:tcBorders>
            <w:shd w:val="clear" w:color="auto" w:fill="92D050"/>
            <w:noWrap/>
            <w:vAlign w:val="center"/>
          </w:tcPr>
          <w:p w14:paraId="35152D95" w14:textId="77777777" w:rsidR="008F44D9" w:rsidRPr="00724F47" w:rsidRDefault="00A009CD" w:rsidP="0070428A">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26.8</w:t>
            </w:r>
            <w:r w:rsidR="008F44D9" w:rsidRPr="00724F47">
              <w:rPr>
                <w:rFonts w:ascii="Microsoft Sans Serif" w:eastAsia="Times New Roman" w:hAnsi="Microsoft Sans Serif" w:cs="Microsoft Sans Serif"/>
                <w:sz w:val="18"/>
                <w:szCs w:val="18"/>
                <w:lang w:val="en-CA" w:eastAsia="en-CA"/>
              </w:rPr>
              <w:t>%</w:t>
            </w:r>
          </w:p>
        </w:tc>
        <w:tc>
          <w:tcPr>
            <w:tcW w:w="765" w:type="pct"/>
            <w:tcBorders>
              <w:top w:val="single" w:sz="4" w:space="0" w:color="auto"/>
            </w:tcBorders>
            <w:noWrap/>
            <w:vAlign w:val="center"/>
          </w:tcPr>
          <w:p w14:paraId="088286D3" w14:textId="77777777" w:rsidR="008F44D9" w:rsidRPr="00724F47" w:rsidRDefault="00A009CD" w:rsidP="0070428A">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16.2</w:t>
            </w:r>
            <w:r w:rsidR="008F44D9" w:rsidRPr="00724F47">
              <w:rPr>
                <w:rFonts w:ascii="Microsoft Sans Serif" w:eastAsia="Times New Roman" w:hAnsi="Microsoft Sans Serif" w:cs="Microsoft Sans Serif"/>
                <w:sz w:val="18"/>
                <w:szCs w:val="18"/>
                <w:lang w:val="en-CA" w:eastAsia="en-CA"/>
              </w:rPr>
              <w:t>%</w:t>
            </w:r>
          </w:p>
        </w:tc>
        <w:tc>
          <w:tcPr>
            <w:tcW w:w="636" w:type="pct"/>
            <w:gridSpan w:val="2"/>
            <w:tcBorders>
              <w:top w:val="single" w:sz="4" w:space="0" w:color="auto"/>
            </w:tcBorders>
            <w:noWrap/>
            <w:vAlign w:val="center"/>
          </w:tcPr>
          <w:p w14:paraId="127AF587" w14:textId="77777777" w:rsidR="008F44D9" w:rsidRPr="00724F47" w:rsidRDefault="00A009CD" w:rsidP="0070428A">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3.7</w:t>
            </w:r>
            <w:r w:rsidR="008F44D9" w:rsidRPr="00724F47">
              <w:rPr>
                <w:rFonts w:ascii="Microsoft Sans Serif" w:eastAsia="Times New Roman" w:hAnsi="Microsoft Sans Serif" w:cs="Microsoft Sans Serif"/>
                <w:sz w:val="18"/>
                <w:szCs w:val="18"/>
                <w:lang w:val="en-CA" w:eastAsia="en-CA"/>
              </w:rPr>
              <w:t>%</w:t>
            </w:r>
          </w:p>
        </w:tc>
        <w:tc>
          <w:tcPr>
            <w:tcW w:w="636" w:type="pct"/>
            <w:tcBorders>
              <w:top w:val="single" w:sz="4" w:space="0" w:color="auto"/>
            </w:tcBorders>
            <w:noWrap/>
            <w:vAlign w:val="center"/>
          </w:tcPr>
          <w:p w14:paraId="122A05F6" w14:textId="77777777" w:rsidR="008F44D9" w:rsidRPr="00724F47" w:rsidRDefault="00A009CD" w:rsidP="0070428A">
            <w:pPr>
              <w:jc w:val="cente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3.1</w:t>
            </w:r>
            <w:r w:rsidR="008F44D9" w:rsidRPr="00724F47">
              <w:rPr>
                <w:rFonts w:ascii="Microsoft Sans Serif" w:eastAsia="Times New Roman" w:hAnsi="Microsoft Sans Serif" w:cs="Microsoft Sans Serif"/>
                <w:sz w:val="18"/>
                <w:szCs w:val="18"/>
                <w:lang w:val="en-CA" w:eastAsia="en-CA"/>
              </w:rPr>
              <w:t>%</w:t>
            </w:r>
          </w:p>
        </w:tc>
      </w:tr>
    </w:tbl>
    <w:p w14:paraId="5F32AF8D" w14:textId="77777777" w:rsidR="00D14259" w:rsidRPr="002C5923" w:rsidRDefault="00D14259" w:rsidP="00D14259">
      <w:pPr>
        <w:spacing w:line="360" w:lineRule="auto"/>
      </w:pPr>
    </w:p>
    <w:p w14:paraId="3685A60A" w14:textId="77777777" w:rsidR="00466BE9" w:rsidRDefault="00F97AEC" w:rsidP="00D14259">
      <w:pPr>
        <w:spacing w:line="360" w:lineRule="auto"/>
      </w:pPr>
      <w:r>
        <w:t>T</w:t>
      </w:r>
      <w:r w:rsidR="00E4014D">
        <w:t>hese</w:t>
      </w:r>
      <w:r w:rsidR="002C5923">
        <w:t xml:space="preserve"> pattern</w:t>
      </w:r>
      <w:r w:rsidR="00E4014D">
        <w:t>s seem</w:t>
      </w:r>
      <w:r w:rsidR="002C5923">
        <w:t xml:space="preserve"> to imply that </w:t>
      </w:r>
      <w:r w:rsidR="00E4014D">
        <w:t>there is a polarization of these of engagement</w:t>
      </w:r>
      <w:r w:rsidR="00F86019">
        <w:t>: a smaller percentage of academics in our sample take part in them than public sector executives</w:t>
      </w:r>
      <w:r w:rsidR="006F3DA4">
        <w:t xml:space="preserve"> and the frequency of their engagement is lower</w:t>
      </w:r>
      <w:r w:rsidR="00F86019">
        <w:t xml:space="preserve">. </w:t>
      </w:r>
    </w:p>
    <w:p w14:paraId="403FA41A" w14:textId="77777777" w:rsidR="002C54AD" w:rsidRDefault="002C54AD" w:rsidP="00D14259">
      <w:pPr>
        <w:spacing w:line="360" w:lineRule="auto"/>
      </w:pPr>
    </w:p>
    <w:p w14:paraId="64874472" w14:textId="77777777" w:rsidR="002C54AD" w:rsidRDefault="002C54AD" w:rsidP="00D14259">
      <w:pPr>
        <w:spacing w:line="360" w:lineRule="auto"/>
      </w:pPr>
    </w:p>
    <w:p w14:paraId="3459C2CD" w14:textId="77777777" w:rsidR="002C54AD" w:rsidRDefault="002C54AD" w:rsidP="00D14259">
      <w:pPr>
        <w:spacing w:line="360" w:lineRule="auto"/>
      </w:pPr>
    </w:p>
    <w:p w14:paraId="7292EFD6" w14:textId="77777777" w:rsidR="002C54AD" w:rsidRDefault="002C54AD" w:rsidP="00D14259">
      <w:pPr>
        <w:spacing w:line="360" w:lineRule="auto"/>
      </w:pPr>
    </w:p>
    <w:p w14:paraId="0A07DBE2" w14:textId="77777777" w:rsidR="002C54AD" w:rsidRDefault="002C54AD" w:rsidP="00D14259">
      <w:pPr>
        <w:spacing w:line="360" w:lineRule="auto"/>
      </w:pPr>
    </w:p>
    <w:p w14:paraId="6A8B1962" w14:textId="77777777" w:rsidR="002C54AD" w:rsidRDefault="002C54AD" w:rsidP="00D14259">
      <w:pPr>
        <w:spacing w:line="360" w:lineRule="auto"/>
      </w:pPr>
    </w:p>
    <w:p w14:paraId="7559ABDA" w14:textId="77777777" w:rsidR="002C54AD" w:rsidRDefault="002C54AD" w:rsidP="00D14259">
      <w:pPr>
        <w:spacing w:line="360" w:lineRule="auto"/>
      </w:pPr>
    </w:p>
    <w:p w14:paraId="0C22AF94" w14:textId="77777777" w:rsidR="002C54AD" w:rsidRDefault="002C54AD" w:rsidP="00D14259">
      <w:pPr>
        <w:spacing w:line="360" w:lineRule="auto"/>
      </w:pPr>
    </w:p>
    <w:p w14:paraId="29B66B1A" w14:textId="77777777" w:rsidR="002C54AD" w:rsidRDefault="002C54AD" w:rsidP="00D14259">
      <w:pPr>
        <w:spacing w:line="360" w:lineRule="auto"/>
      </w:pPr>
    </w:p>
    <w:p w14:paraId="56378FF9" w14:textId="77777777" w:rsidR="002C54AD" w:rsidRDefault="002C54AD" w:rsidP="00D14259">
      <w:pPr>
        <w:spacing w:line="360" w:lineRule="auto"/>
      </w:pPr>
    </w:p>
    <w:p w14:paraId="2C9B20E5" w14:textId="77777777" w:rsidR="00466BE9" w:rsidRDefault="00466BE9" w:rsidP="00D14259">
      <w:pPr>
        <w:spacing w:line="360" w:lineRule="auto"/>
      </w:pPr>
    </w:p>
    <w:p w14:paraId="5649B813" w14:textId="77777777" w:rsidR="00466BE9" w:rsidRPr="002C5923" w:rsidRDefault="00466BE9" w:rsidP="00D14259">
      <w:pPr>
        <w:spacing w:line="360" w:lineRule="auto"/>
      </w:pPr>
    </w:p>
    <w:p w14:paraId="6527844C" w14:textId="77777777" w:rsidR="003B60EF" w:rsidRPr="002C5923" w:rsidRDefault="003B60EF" w:rsidP="00327849">
      <w:pPr>
        <w:spacing w:line="360" w:lineRule="auto"/>
      </w:pPr>
    </w:p>
    <w:p w14:paraId="380B37D1" w14:textId="77777777" w:rsidR="003B60EF" w:rsidRPr="00F60655" w:rsidRDefault="00F60655" w:rsidP="00327849">
      <w:pPr>
        <w:spacing w:line="360" w:lineRule="auto"/>
        <w:rPr>
          <w:i/>
        </w:rPr>
      </w:pPr>
      <w:r>
        <w:rPr>
          <w:i/>
        </w:rPr>
        <w:t>Engagement with Non-Profit and the Private Sector</w:t>
      </w:r>
    </w:p>
    <w:p w14:paraId="21692F75" w14:textId="77777777" w:rsidR="00EB47CF" w:rsidRDefault="00EB47CF" w:rsidP="00327849">
      <w:pPr>
        <w:spacing w:line="360" w:lineRule="auto"/>
      </w:pPr>
    </w:p>
    <w:p w14:paraId="5B4E6FDF" w14:textId="77777777" w:rsidR="00EB47CF" w:rsidRDefault="00466BE9" w:rsidP="00327849">
      <w:pPr>
        <w:spacing w:line="360" w:lineRule="auto"/>
      </w:pPr>
      <w:r>
        <w:t>O</w:t>
      </w:r>
      <w:r w:rsidR="00EB47CF">
        <w:t xml:space="preserve">ur survey </w:t>
      </w:r>
      <w:r>
        <w:t>also enabled us</w:t>
      </w:r>
      <w:r w:rsidR="00EB47CF">
        <w:t xml:space="preserve"> to compare how frequently the two communities engaged with the non-profit and the private sector.</w:t>
      </w:r>
    </w:p>
    <w:p w14:paraId="6B26AC14" w14:textId="77777777" w:rsidR="00EB47CF" w:rsidRDefault="00EB47CF" w:rsidP="00327849">
      <w:pPr>
        <w:spacing w:line="360" w:lineRule="auto"/>
      </w:pPr>
    </w:p>
    <w:p w14:paraId="45A474F3" w14:textId="77777777" w:rsidR="00EB47CF" w:rsidRDefault="00EB47CF" w:rsidP="00327849">
      <w:pPr>
        <w:spacing w:line="360" w:lineRule="auto"/>
      </w:pPr>
      <w:r w:rsidRPr="00135364">
        <w:rPr>
          <w:i/>
        </w:rPr>
        <w:t xml:space="preserve">Table </w:t>
      </w:r>
      <w:r w:rsidR="00AC4879">
        <w:rPr>
          <w:i/>
        </w:rPr>
        <w:t>9</w:t>
      </w:r>
      <w:r w:rsidRPr="00135364">
        <w:rPr>
          <w:i/>
        </w:rPr>
        <w:t>.</w:t>
      </w:r>
      <w:r w:rsidR="00724F47">
        <w:rPr>
          <w:i/>
        </w:rPr>
        <w:t xml:space="preserve"> Engagement with the Non-Profit and Private Sector</w:t>
      </w:r>
    </w:p>
    <w:tbl>
      <w:tblPr>
        <w:tblStyle w:val="Tableausimple1"/>
        <w:tblW w:w="5000" w:type="pct"/>
        <w:tblLook w:val="04A0" w:firstRow="1" w:lastRow="0" w:firstColumn="1" w:lastColumn="0" w:noHBand="0" w:noVBand="1"/>
      </w:tblPr>
      <w:tblGrid>
        <w:gridCol w:w="3210"/>
        <w:gridCol w:w="1073"/>
        <w:gridCol w:w="1073"/>
        <w:gridCol w:w="1355"/>
        <w:gridCol w:w="1073"/>
        <w:gridCol w:w="1072"/>
      </w:tblGrid>
      <w:tr w:rsidR="00EB47CF" w:rsidRPr="00724F47" w14:paraId="39BCBA21" w14:textId="77777777">
        <w:trPr>
          <w:cnfStyle w:val="100000000000" w:firstRow="1" w:lastRow="0" w:firstColumn="0" w:lastColumn="0" w:oddVBand="0" w:evenVBand="0" w:oddHBand="0" w:evenHBand="0" w:firstRowFirstColumn="0" w:firstRowLastColumn="0" w:lastRowFirstColumn="0" w:lastRowLastColumn="0"/>
          <w:trHeight w:val="830"/>
        </w:trPr>
        <w:tc>
          <w:tcPr>
            <w:tcW w:w="1812" w:type="pct"/>
            <w:noWrap/>
          </w:tcPr>
          <w:p w14:paraId="51276784" w14:textId="77777777" w:rsidR="00EB47CF" w:rsidRPr="00724F47" w:rsidRDefault="00EB47CF" w:rsidP="0070428A">
            <w:pPr>
              <w:rPr>
                <w:rFonts w:ascii="Microsoft Sans Serif" w:eastAsia="Times New Roman" w:hAnsi="Microsoft Sans Serif" w:cs="Microsoft Sans Serif"/>
                <w:sz w:val="16"/>
                <w:szCs w:val="16"/>
                <w:lang w:val="en-CA" w:eastAsia="en-CA"/>
              </w:rPr>
            </w:pPr>
          </w:p>
        </w:tc>
        <w:tc>
          <w:tcPr>
            <w:tcW w:w="606" w:type="pct"/>
          </w:tcPr>
          <w:p w14:paraId="6FBB199A" w14:textId="77777777" w:rsidR="00EB47CF" w:rsidRPr="00724F47" w:rsidRDefault="00EB47CF" w:rsidP="0070428A">
            <w:pPr>
              <w:jc w:val="center"/>
              <w:rPr>
                <w:rFonts w:ascii="Microsoft Sans Serif" w:eastAsia="Times New Roman" w:hAnsi="Microsoft Sans Serif" w:cs="Microsoft Sans Serif"/>
                <w:b/>
                <w:bCs/>
                <w:sz w:val="16"/>
                <w:szCs w:val="16"/>
                <w:lang w:val="en-CA" w:eastAsia="en-CA"/>
              </w:rPr>
            </w:pPr>
            <w:r w:rsidRPr="00724F47">
              <w:rPr>
                <w:rFonts w:ascii="Microsoft Sans Serif" w:eastAsia="Times New Roman" w:hAnsi="Microsoft Sans Serif" w:cs="Microsoft Sans Serif"/>
                <w:b/>
                <w:bCs/>
                <w:sz w:val="16"/>
                <w:szCs w:val="16"/>
                <w:lang w:val="en-CA" w:eastAsia="en-CA"/>
              </w:rPr>
              <w:t xml:space="preserve">Never </w:t>
            </w:r>
          </w:p>
        </w:tc>
        <w:tc>
          <w:tcPr>
            <w:tcW w:w="606" w:type="pct"/>
          </w:tcPr>
          <w:p w14:paraId="77D2234D" w14:textId="77777777" w:rsidR="00EB47CF" w:rsidRPr="00724F47" w:rsidRDefault="00EB47CF" w:rsidP="0070428A">
            <w:pPr>
              <w:jc w:val="center"/>
              <w:rPr>
                <w:rFonts w:ascii="Microsoft Sans Serif" w:eastAsia="Times New Roman" w:hAnsi="Microsoft Sans Serif" w:cs="Microsoft Sans Serif"/>
                <w:b/>
                <w:bCs/>
                <w:sz w:val="16"/>
                <w:szCs w:val="16"/>
                <w:lang w:val="en-CA" w:eastAsia="en-CA"/>
              </w:rPr>
            </w:pPr>
            <w:r w:rsidRPr="00724F47">
              <w:rPr>
                <w:rFonts w:ascii="Microsoft Sans Serif" w:eastAsia="Times New Roman" w:hAnsi="Microsoft Sans Serif" w:cs="Microsoft Sans Serif"/>
                <w:b/>
                <w:bCs/>
                <w:sz w:val="16"/>
                <w:szCs w:val="16"/>
                <w:lang w:val="en-CA" w:eastAsia="en-CA"/>
              </w:rPr>
              <w:t>Seldom (not more than twice per year)</w:t>
            </w:r>
          </w:p>
        </w:tc>
        <w:tc>
          <w:tcPr>
            <w:tcW w:w="765" w:type="pct"/>
          </w:tcPr>
          <w:p w14:paraId="53A132A3" w14:textId="77777777" w:rsidR="00EB47CF" w:rsidRPr="00724F47" w:rsidRDefault="00EB47CF" w:rsidP="0070428A">
            <w:pPr>
              <w:jc w:val="center"/>
              <w:rPr>
                <w:rFonts w:ascii="Microsoft Sans Serif" w:eastAsia="Times New Roman" w:hAnsi="Microsoft Sans Serif" w:cs="Microsoft Sans Serif"/>
                <w:b/>
                <w:bCs/>
                <w:sz w:val="16"/>
                <w:szCs w:val="16"/>
                <w:lang w:val="en-CA" w:eastAsia="en-CA"/>
              </w:rPr>
            </w:pPr>
            <w:r w:rsidRPr="00724F47">
              <w:rPr>
                <w:rFonts w:ascii="Microsoft Sans Serif" w:eastAsia="Times New Roman" w:hAnsi="Microsoft Sans Serif" w:cs="Microsoft Sans Serif"/>
                <w:b/>
                <w:bCs/>
                <w:sz w:val="16"/>
                <w:szCs w:val="16"/>
                <w:lang w:val="en-CA" w:eastAsia="en-CA"/>
              </w:rPr>
              <w:t>Occasionally (at least every three months)</w:t>
            </w:r>
          </w:p>
        </w:tc>
        <w:tc>
          <w:tcPr>
            <w:tcW w:w="606" w:type="pct"/>
          </w:tcPr>
          <w:p w14:paraId="6A20862E" w14:textId="77777777" w:rsidR="00724F47" w:rsidRDefault="00EB47CF" w:rsidP="0070428A">
            <w:pPr>
              <w:jc w:val="center"/>
              <w:rPr>
                <w:rFonts w:ascii="Microsoft Sans Serif" w:eastAsia="Times New Roman" w:hAnsi="Microsoft Sans Serif" w:cs="Microsoft Sans Serif"/>
                <w:b/>
                <w:bCs/>
                <w:sz w:val="16"/>
                <w:szCs w:val="16"/>
                <w:lang w:val="en-CA" w:eastAsia="en-CA"/>
              </w:rPr>
            </w:pPr>
            <w:r w:rsidRPr="00724F47">
              <w:rPr>
                <w:rFonts w:ascii="Microsoft Sans Serif" w:eastAsia="Times New Roman" w:hAnsi="Microsoft Sans Serif" w:cs="Microsoft Sans Serif"/>
                <w:b/>
                <w:bCs/>
                <w:sz w:val="16"/>
                <w:szCs w:val="16"/>
                <w:lang w:val="en-CA" w:eastAsia="en-CA"/>
              </w:rPr>
              <w:t xml:space="preserve">Often </w:t>
            </w:r>
          </w:p>
          <w:p w14:paraId="7CC89349" w14:textId="77777777" w:rsidR="00EB47CF" w:rsidRPr="00724F47" w:rsidRDefault="00EB47CF" w:rsidP="0070428A">
            <w:pPr>
              <w:jc w:val="center"/>
              <w:rPr>
                <w:rFonts w:ascii="Microsoft Sans Serif" w:eastAsia="Times New Roman" w:hAnsi="Microsoft Sans Serif" w:cs="Microsoft Sans Serif"/>
                <w:b/>
                <w:bCs/>
                <w:sz w:val="16"/>
                <w:szCs w:val="16"/>
                <w:lang w:val="en-CA" w:eastAsia="en-CA"/>
              </w:rPr>
            </w:pPr>
            <w:r w:rsidRPr="00724F47">
              <w:rPr>
                <w:rFonts w:ascii="Microsoft Sans Serif" w:eastAsia="Times New Roman" w:hAnsi="Microsoft Sans Serif" w:cs="Microsoft Sans Serif"/>
                <w:b/>
                <w:bCs/>
                <w:sz w:val="16"/>
                <w:szCs w:val="16"/>
                <w:lang w:val="en-CA" w:eastAsia="en-CA"/>
              </w:rPr>
              <w:t>(at least every month)</w:t>
            </w:r>
          </w:p>
        </w:tc>
        <w:tc>
          <w:tcPr>
            <w:tcW w:w="605" w:type="pct"/>
          </w:tcPr>
          <w:p w14:paraId="35C74C09" w14:textId="77777777" w:rsidR="00EB47CF" w:rsidRPr="00724F47" w:rsidRDefault="00EB47CF" w:rsidP="0070428A">
            <w:pPr>
              <w:jc w:val="center"/>
              <w:rPr>
                <w:rFonts w:ascii="Microsoft Sans Serif" w:eastAsia="Times New Roman" w:hAnsi="Microsoft Sans Serif" w:cs="Microsoft Sans Serif"/>
                <w:b/>
                <w:bCs/>
                <w:sz w:val="16"/>
                <w:szCs w:val="16"/>
                <w:lang w:val="en-CA" w:eastAsia="en-CA"/>
              </w:rPr>
            </w:pPr>
            <w:r w:rsidRPr="00724F47">
              <w:rPr>
                <w:rFonts w:ascii="Microsoft Sans Serif" w:eastAsia="Times New Roman" w:hAnsi="Microsoft Sans Serif" w:cs="Microsoft Sans Serif"/>
                <w:b/>
                <w:bCs/>
                <w:sz w:val="16"/>
                <w:szCs w:val="16"/>
                <w:lang w:val="en-CA" w:eastAsia="en-CA"/>
              </w:rPr>
              <w:t>Very Often (more than twice per month)</w:t>
            </w:r>
          </w:p>
        </w:tc>
      </w:tr>
      <w:tr w:rsidR="00EB47CF" w:rsidRPr="00724F47" w14:paraId="4B31AC3C" w14:textId="77777777">
        <w:trPr>
          <w:trHeight w:val="170"/>
        </w:trPr>
        <w:tc>
          <w:tcPr>
            <w:tcW w:w="1812" w:type="pct"/>
            <w:shd w:val="clear" w:color="auto" w:fill="D9D9D9" w:themeFill="background1" w:themeFillShade="D9"/>
          </w:tcPr>
          <w:p w14:paraId="183D5B0F" w14:textId="77777777" w:rsidR="00EB47CF" w:rsidRPr="00724F47" w:rsidRDefault="003F03B2" w:rsidP="0070428A">
            <w:pPr>
              <w:rPr>
                <w:rFonts w:ascii="Microsoft Sans Serif" w:eastAsia="Times New Roman" w:hAnsi="Microsoft Sans Serif" w:cs="Microsoft Sans Serif"/>
                <w:sz w:val="18"/>
                <w:szCs w:val="18"/>
                <w:lang w:val="en-CA" w:eastAsia="en-CA"/>
              </w:rPr>
            </w:pPr>
            <w:r w:rsidRPr="003F03B2">
              <w:rPr>
                <w:rFonts w:ascii="Microsoft Sans Serif" w:eastAsia="Times New Roman" w:hAnsi="Microsoft Sans Serif" w:cs="Microsoft Sans Serif"/>
                <w:i/>
                <w:sz w:val="18"/>
                <w:szCs w:val="18"/>
                <w:lang w:val="en-CA" w:eastAsia="en-CA"/>
              </w:rPr>
              <w:t xml:space="preserve">Canadian Public </w:t>
            </w:r>
            <w:r w:rsidR="00902643">
              <w:rPr>
                <w:rFonts w:ascii="Microsoft Sans Serif" w:eastAsia="Times New Roman" w:hAnsi="Microsoft Sans Serif" w:cs="Microsoft Sans Serif"/>
                <w:i/>
                <w:sz w:val="18"/>
                <w:szCs w:val="18"/>
                <w:lang w:val="en-CA" w:eastAsia="en-CA"/>
              </w:rPr>
              <w:t>Service</w:t>
            </w:r>
            <w:r w:rsidRPr="003F03B2">
              <w:rPr>
                <w:rFonts w:ascii="Microsoft Sans Serif" w:eastAsia="Times New Roman" w:hAnsi="Microsoft Sans Serif" w:cs="Microsoft Sans Serif"/>
                <w:i/>
                <w:sz w:val="18"/>
                <w:szCs w:val="18"/>
                <w:lang w:val="en-CA" w:eastAsia="en-CA"/>
              </w:rPr>
              <w:t xml:space="preserve"> Executives</w:t>
            </w:r>
          </w:p>
        </w:tc>
        <w:tc>
          <w:tcPr>
            <w:tcW w:w="606" w:type="pct"/>
            <w:shd w:val="clear" w:color="auto" w:fill="D9D9D9" w:themeFill="background1" w:themeFillShade="D9"/>
            <w:noWrap/>
            <w:vAlign w:val="center"/>
          </w:tcPr>
          <w:p w14:paraId="04DB047A" w14:textId="77777777" w:rsidR="00EB47CF" w:rsidRPr="00724F47" w:rsidRDefault="00EB47CF" w:rsidP="0070428A">
            <w:pPr>
              <w:jc w:val="center"/>
              <w:rPr>
                <w:rFonts w:ascii="Microsoft Sans Serif" w:eastAsia="Times New Roman" w:hAnsi="Microsoft Sans Serif" w:cs="Microsoft Sans Serif"/>
                <w:sz w:val="18"/>
                <w:szCs w:val="18"/>
                <w:lang w:val="en-CA" w:eastAsia="en-CA"/>
              </w:rPr>
            </w:pPr>
          </w:p>
        </w:tc>
        <w:tc>
          <w:tcPr>
            <w:tcW w:w="606" w:type="pct"/>
            <w:shd w:val="clear" w:color="auto" w:fill="D9D9D9" w:themeFill="background1" w:themeFillShade="D9"/>
            <w:noWrap/>
            <w:vAlign w:val="center"/>
          </w:tcPr>
          <w:p w14:paraId="61476E5F" w14:textId="77777777" w:rsidR="00EB47CF" w:rsidRPr="00724F47" w:rsidRDefault="00EB47CF" w:rsidP="0070428A">
            <w:pPr>
              <w:jc w:val="center"/>
              <w:rPr>
                <w:rFonts w:ascii="Microsoft Sans Serif" w:eastAsia="Times New Roman" w:hAnsi="Microsoft Sans Serif" w:cs="Microsoft Sans Serif"/>
                <w:sz w:val="18"/>
                <w:szCs w:val="18"/>
                <w:lang w:val="en-CA" w:eastAsia="en-CA"/>
              </w:rPr>
            </w:pPr>
          </w:p>
        </w:tc>
        <w:tc>
          <w:tcPr>
            <w:tcW w:w="765" w:type="pct"/>
            <w:shd w:val="clear" w:color="auto" w:fill="D9D9D9" w:themeFill="background1" w:themeFillShade="D9"/>
            <w:noWrap/>
            <w:vAlign w:val="center"/>
          </w:tcPr>
          <w:p w14:paraId="0C62193E" w14:textId="77777777" w:rsidR="00EB47CF" w:rsidRPr="00724F47" w:rsidRDefault="00EB47CF" w:rsidP="0070428A">
            <w:pPr>
              <w:jc w:val="center"/>
              <w:rPr>
                <w:rFonts w:ascii="Microsoft Sans Serif" w:eastAsia="Times New Roman" w:hAnsi="Microsoft Sans Serif" w:cs="Microsoft Sans Serif"/>
                <w:sz w:val="18"/>
                <w:szCs w:val="18"/>
                <w:lang w:val="en-CA" w:eastAsia="en-CA"/>
              </w:rPr>
            </w:pPr>
          </w:p>
        </w:tc>
        <w:tc>
          <w:tcPr>
            <w:tcW w:w="606" w:type="pct"/>
            <w:shd w:val="clear" w:color="auto" w:fill="D9D9D9" w:themeFill="background1" w:themeFillShade="D9"/>
            <w:noWrap/>
            <w:vAlign w:val="center"/>
          </w:tcPr>
          <w:p w14:paraId="2A6F1420" w14:textId="77777777" w:rsidR="00EB47CF" w:rsidRPr="00724F47" w:rsidRDefault="00EB47CF" w:rsidP="0070428A">
            <w:pPr>
              <w:jc w:val="center"/>
              <w:rPr>
                <w:rFonts w:ascii="Microsoft Sans Serif" w:eastAsia="Times New Roman" w:hAnsi="Microsoft Sans Serif" w:cs="Microsoft Sans Serif"/>
                <w:sz w:val="18"/>
                <w:szCs w:val="18"/>
                <w:lang w:val="en-CA" w:eastAsia="en-CA"/>
              </w:rPr>
            </w:pPr>
          </w:p>
        </w:tc>
        <w:tc>
          <w:tcPr>
            <w:tcW w:w="605" w:type="pct"/>
            <w:shd w:val="clear" w:color="auto" w:fill="D9D9D9" w:themeFill="background1" w:themeFillShade="D9"/>
            <w:noWrap/>
            <w:vAlign w:val="center"/>
          </w:tcPr>
          <w:p w14:paraId="0263D6BC" w14:textId="77777777" w:rsidR="00EB47CF" w:rsidRPr="00724F47" w:rsidRDefault="00EB47CF" w:rsidP="0070428A">
            <w:pPr>
              <w:jc w:val="center"/>
              <w:rPr>
                <w:rFonts w:ascii="Microsoft Sans Serif" w:eastAsia="Times New Roman" w:hAnsi="Microsoft Sans Serif" w:cs="Microsoft Sans Serif"/>
                <w:sz w:val="18"/>
                <w:szCs w:val="18"/>
                <w:lang w:val="en-CA" w:eastAsia="en-CA"/>
              </w:rPr>
            </w:pPr>
          </w:p>
        </w:tc>
      </w:tr>
      <w:tr w:rsidR="00535FB9" w:rsidRPr="00724F47" w14:paraId="5725D328" w14:textId="77777777">
        <w:trPr>
          <w:trHeight w:val="656"/>
        </w:trPr>
        <w:tc>
          <w:tcPr>
            <w:tcW w:w="1812" w:type="pct"/>
            <w:vAlign w:val="center"/>
          </w:tcPr>
          <w:p w14:paraId="4BA94DA5" w14:textId="77777777" w:rsidR="00535FB9" w:rsidRPr="00724F47" w:rsidRDefault="00535FB9" w:rsidP="00EB47CF">
            <w:pP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Engage with non-academic actors like social enterprises and not-profit?</w:t>
            </w:r>
          </w:p>
        </w:tc>
        <w:tc>
          <w:tcPr>
            <w:tcW w:w="606" w:type="pct"/>
            <w:noWrap/>
            <w:vAlign w:val="center"/>
          </w:tcPr>
          <w:p w14:paraId="3914873D" w14:textId="77777777" w:rsidR="00535FB9" w:rsidRPr="003F03B2" w:rsidRDefault="00535FB9" w:rsidP="00535FB9">
            <w:pPr>
              <w:jc w:val="center"/>
              <w:rPr>
                <w:rFonts w:ascii="Microsoft Sans Serif" w:hAnsi="Microsoft Sans Serif" w:cs="Microsoft Sans Serif"/>
                <w:sz w:val="20"/>
                <w:szCs w:val="20"/>
              </w:rPr>
            </w:pPr>
            <w:r w:rsidRPr="003F03B2">
              <w:rPr>
                <w:rFonts w:ascii="Microsoft Sans Serif" w:hAnsi="Microsoft Sans Serif" w:cs="Microsoft Sans Serif"/>
                <w:sz w:val="20"/>
                <w:szCs w:val="20"/>
              </w:rPr>
              <w:t>5.4%</w:t>
            </w:r>
          </w:p>
        </w:tc>
        <w:tc>
          <w:tcPr>
            <w:tcW w:w="606" w:type="pct"/>
            <w:noWrap/>
            <w:vAlign w:val="center"/>
          </w:tcPr>
          <w:p w14:paraId="6394EFE5" w14:textId="77777777" w:rsidR="00535FB9" w:rsidRPr="003F03B2" w:rsidRDefault="00535FB9" w:rsidP="00535FB9">
            <w:pPr>
              <w:jc w:val="center"/>
              <w:rPr>
                <w:rFonts w:ascii="Microsoft Sans Serif" w:hAnsi="Microsoft Sans Serif" w:cs="Microsoft Sans Serif"/>
                <w:sz w:val="20"/>
                <w:szCs w:val="20"/>
              </w:rPr>
            </w:pPr>
            <w:r w:rsidRPr="003F03B2">
              <w:rPr>
                <w:rFonts w:ascii="Microsoft Sans Serif" w:hAnsi="Microsoft Sans Serif" w:cs="Microsoft Sans Serif"/>
                <w:sz w:val="20"/>
                <w:szCs w:val="20"/>
              </w:rPr>
              <w:t>16.7%</w:t>
            </w:r>
          </w:p>
        </w:tc>
        <w:tc>
          <w:tcPr>
            <w:tcW w:w="765" w:type="pct"/>
            <w:noWrap/>
            <w:vAlign w:val="center"/>
          </w:tcPr>
          <w:p w14:paraId="63C421FF" w14:textId="77777777" w:rsidR="00535FB9" w:rsidRPr="003F03B2" w:rsidRDefault="00535FB9" w:rsidP="00535FB9">
            <w:pPr>
              <w:jc w:val="center"/>
              <w:rPr>
                <w:rFonts w:ascii="Microsoft Sans Serif" w:hAnsi="Microsoft Sans Serif" w:cs="Microsoft Sans Serif"/>
                <w:sz w:val="20"/>
                <w:szCs w:val="20"/>
              </w:rPr>
            </w:pPr>
            <w:r w:rsidRPr="003F03B2">
              <w:rPr>
                <w:rFonts w:ascii="Microsoft Sans Serif" w:hAnsi="Microsoft Sans Serif" w:cs="Microsoft Sans Serif"/>
                <w:sz w:val="20"/>
                <w:szCs w:val="20"/>
              </w:rPr>
              <w:t>38.1%</w:t>
            </w:r>
          </w:p>
        </w:tc>
        <w:tc>
          <w:tcPr>
            <w:tcW w:w="606" w:type="pct"/>
            <w:noWrap/>
            <w:vAlign w:val="center"/>
          </w:tcPr>
          <w:p w14:paraId="76590C80" w14:textId="77777777" w:rsidR="00535FB9" w:rsidRPr="003F03B2" w:rsidRDefault="00535FB9" w:rsidP="00535FB9">
            <w:pPr>
              <w:jc w:val="center"/>
              <w:rPr>
                <w:rFonts w:ascii="Microsoft Sans Serif" w:hAnsi="Microsoft Sans Serif" w:cs="Microsoft Sans Serif"/>
                <w:sz w:val="20"/>
                <w:szCs w:val="20"/>
              </w:rPr>
            </w:pPr>
            <w:r w:rsidRPr="003F03B2">
              <w:rPr>
                <w:rFonts w:ascii="Microsoft Sans Serif" w:hAnsi="Microsoft Sans Serif" w:cs="Microsoft Sans Serif"/>
                <w:sz w:val="20"/>
                <w:szCs w:val="20"/>
              </w:rPr>
              <w:t>25.0%</w:t>
            </w:r>
          </w:p>
        </w:tc>
        <w:tc>
          <w:tcPr>
            <w:tcW w:w="605" w:type="pct"/>
            <w:noWrap/>
            <w:vAlign w:val="center"/>
          </w:tcPr>
          <w:p w14:paraId="514174AC" w14:textId="77777777" w:rsidR="00535FB9" w:rsidRPr="003F03B2" w:rsidRDefault="00535FB9" w:rsidP="00535FB9">
            <w:pPr>
              <w:jc w:val="center"/>
              <w:rPr>
                <w:rFonts w:ascii="Microsoft Sans Serif" w:hAnsi="Microsoft Sans Serif" w:cs="Microsoft Sans Serif"/>
                <w:sz w:val="20"/>
                <w:szCs w:val="20"/>
              </w:rPr>
            </w:pPr>
            <w:r w:rsidRPr="003F03B2">
              <w:rPr>
                <w:rFonts w:ascii="Microsoft Sans Serif" w:hAnsi="Microsoft Sans Serif" w:cs="Microsoft Sans Serif"/>
                <w:sz w:val="20"/>
                <w:szCs w:val="20"/>
              </w:rPr>
              <w:t>14.9%</w:t>
            </w:r>
          </w:p>
        </w:tc>
      </w:tr>
      <w:tr w:rsidR="00535FB9" w:rsidRPr="00724F47" w14:paraId="2A3EA3FE" w14:textId="77777777">
        <w:trPr>
          <w:trHeight w:val="397"/>
        </w:trPr>
        <w:tc>
          <w:tcPr>
            <w:tcW w:w="1812" w:type="pct"/>
            <w:vAlign w:val="center"/>
          </w:tcPr>
          <w:p w14:paraId="61229C37" w14:textId="77777777" w:rsidR="00535FB9" w:rsidRPr="00724F47" w:rsidRDefault="00535FB9" w:rsidP="00EB47CF">
            <w:pP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Engage with the private sector?</w:t>
            </w:r>
          </w:p>
        </w:tc>
        <w:tc>
          <w:tcPr>
            <w:tcW w:w="606" w:type="pct"/>
            <w:noWrap/>
            <w:vAlign w:val="center"/>
          </w:tcPr>
          <w:p w14:paraId="07CFDF66" w14:textId="77777777" w:rsidR="00535FB9" w:rsidRPr="003F03B2" w:rsidRDefault="00535FB9" w:rsidP="00535FB9">
            <w:pPr>
              <w:jc w:val="center"/>
              <w:rPr>
                <w:rFonts w:ascii="Microsoft Sans Serif" w:hAnsi="Microsoft Sans Serif" w:cs="Microsoft Sans Serif"/>
                <w:sz w:val="20"/>
                <w:szCs w:val="20"/>
              </w:rPr>
            </w:pPr>
            <w:r w:rsidRPr="003F03B2">
              <w:rPr>
                <w:rFonts w:ascii="Microsoft Sans Serif" w:hAnsi="Microsoft Sans Serif" w:cs="Microsoft Sans Serif"/>
                <w:sz w:val="20"/>
                <w:szCs w:val="20"/>
              </w:rPr>
              <w:t>2.4%</w:t>
            </w:r>
          </w:p>
        </w:tc>
        <w:tc>
          <w:tcPr>
            <w:tcW w:w="606" w:type="pct"/>
            <w:noWrap/>
            <w:vAlign w:val="center"/>
          </w:tcPr>
          <w:p w14:paraId="4CB9F15E" w14:textId="77777777" w:rsidR="00535FB9" w:rsidRPr="003F03B2" w:rsidRDefault="00535FB9" w:rsidP="00535FB9">
            <w:pPr>
              <w:jc w:val="center"/>
              <w:rPr>
                <w:rFonts w:ascii="Microsoft Sans Serif" w:hAnsi="Microsoft Sans Serif" w:cs="Microsoft Sans Serif"/>
                <w:sz w:val="20"/>
                <w:szCs w:val="20"/>
              </w:rPr>
            </w:pPr>
            <w:r w:rsidRPr="003F03B2">
              <w:rPr>
                <w:rFonts w:ascii="Microsoft Sans Serif" w:hAnsi="Microsoft Sans Serif" w:cs="Microsoft Sans Serif"/>
                <w:sz w:val="20"/>
                <w:szCs w:val="20"/>
              </w:rPr>
              <w:t>9.8%</w:t>
            </w:r>
          </w:p>
        </w:tc>
        <w:tc>
          <w:tcPr>
            <w:tcW w:w="765" w:type="pct"/>
            <w:noWrap/>
            <w:vAlign w:val="center"/>
          </w:tcPr>
          <w:p w14:paraId="146D8E86" w14:textId="77777777" w:rsidR="00535FB9" w:rsidRPr="003F03B2" w:rsidRDefault="00535FB9" w:rsidP="00535FB9">
            <w:pPr>
              <w:jc w:val="center"/>
              <w:rPr>
                <w:rFonts w:ascii="Microsoft Sans Serif" w:hAnsi="Microsoft Sans Serif" w:cs="Microsoft Sans Serif"/>
                <w:sz w:val="20"/>
                <w:szCs w:val="20"/>
              </w:rPr>
            </w:pPr>
            <w:r w:rsidRPr="003F03B2">
              <w:rPr>
                <w:rFonts w:ascii="Microsoft Sans Serif" w:hAnsi="Microsoft Sans Serif" w:cs="Microsoft Sans Serif"/>
                <w:sz w:val="20"/>
                <w:szCs w:val="20"/>
              </w:rPr>
              <w:t>14.0%</w:t>
            </w:r>
          </w:p>
        </w:tc>
        <w:tc>
          <w:tcPr>
            <w:tcW w:w="606" w:type="pct"/>
            <w:noWrap/>
            <w:vAlign w:val="center"/>
          </w:tcPr>
          <w:p w14:paraId="4A016952" w14:textId="77777777" w:rsidR="00535FB9" w:rsidRPr="003F03B2" w:rsidRDefault="00535FB9" w:rsidP="00535FB9">
            <w:pPr>
              <w:jc w:val="center"/>
              <w:rPr>
                <w:rFonts w:ascii="Microsoft Sans Serif" w:hAnsi="Microsoft Sans Serif" w:cs="Microsoft Sans Serif"/>
                <w:sz w:val="20"/>
                <w:szCs w:val="20"/>
              </w:rPr>
            </w:pPr>
            <w:r w:rsidRPr="003F03B2">
              <w:rPr>
                <w:rFonts w:ascii="Microsoft Sans Serif" w:hAnsi="Microsoft Sans Serif" w:cs="Microsoft Sans Serif"/>
                <w:sz w:val="20"/>
                <w:szCs w:val="20"/>
              </w:rPr>
              <w:t>34.1%</w:t>
            </w:r>
          </w:p>
        </w:tc>
        <w:tc>
          <w:tcPr>
            <w:tcW w:w="605" w:type="pct"/>
            <w:noWrap/>
            <w:vAlign w:val="center"/>
          </w:tcPr>
          <w:p w14:paraId="333242EF" w14:textId="77777777" w:rsidR="00535FB9" w:rsidRPr="003F03B2" w:rsidRDefault="00535FB9" w:rsidP="00535FB9">
            <w:pPr>
              <w:jc w:val="center"/>
              <w:rPr>
                <w:rFonts w:ascii="Microsoft Sans Serif" w:hAnsi="Microsoft Sans Serif" w:cs="Microsoft Sans Serif"/>
                <w:sz w:val="20"/>
                <w:szCs w:val="20"/>
              </w:rPr>
            </w:pPr>
            <w:r w:rsidRPr="003F03B2">
              <w:rPr>
                <w:rFonts w:ascii="Microsoft Sans Serif" w:hAnsi="Microsoft Sans Serif" w:cs="Microsoft Sans Serif"/>
                <w:sz w:val="20"/>
                <w:szCs w:val="20"/>
              </w:rPr>
              <w:t>39.6%</w:t>
            </w:r>
          </w:p>
        </w:tc>
      </w:tr>
      <w:tr w:rsidR="00EB47CF" w:rsidRPr="00724F47" w14:paraId="1159F0EB" w14:textId="77777777">
        <w:trPr>
          <w:trHeight w:val="175"/>
        </w:trPr>
        <w:tc>
          <w:tcPr>
            <w:tcW w:w="1812" w:type="pct"/>
            <w:shd w:val="clear" w:color="auto" w:fill="D9D9D9" w:themeFill="background1" w:themeFillShade="D9"/>
          </w:tcPr>
          <w:p w14:paraId="40260098" w14:textId="77777777" w:rsidR="00EB47CF" w:rsidRPr="003F03B2" w:rsidRDefault="00EB47CF" w:rsidP="00CB008A">
            <w:pPr>
              <w:rPr>
                <w:rFonts w:ascii="Microsoft Sans Serif" w:eastAsia="Times New Roman" w:hAnsi="Microsoft Sans Serif" w:cs="Microsoft Sans Serif"/>
                <w:i/>
                <w:sz w:val="18"/>
                <w:szCs w:val="18"/>
                <w:lang w:val="en-CA" w:eastAsia="en-CA"/>
              </w:rPr>
            </w:pPr>
            <w:r w:rsidRPr="003F03B2">
              <w:rPr>
                <w:rFonts w:ascii="Microsoft Sans Serif" w:eastAsia="Times New Roman" w:hAnsi="Microsoft Sans Serif" w:cs="Microsoft Sans Serif"/>
                <w:i/>
                <w:sz w:val="18"/>
                <w:szCs w:val="18"/>
                <w:lang w:val="en-CA" w:eastAsia="en-CA"/>
              </w:rPr>
              <w:t xml:space="preserve">Canadian </w:t>
            </w:r>
            <w:r w:rsidR="00CB008A" w:rsidRPr="003F03B2">
              <w:rPr>
                <w:rFonts w:ascii="Microsoft Sans Serif" w:eastAsia="Times New Roman" w:hAnsi="Microsoft Sans Serif" w:cs="Microsoft Sans Serif"/>
                <w:i/>
                <w:sz w:val="18"/>
                <w:szCs w:val="18"/>
                <w:lang w:val="en-CA" w:eastAsia="en-CA"/>
              </w:rPr>
              <w:t>Academics</w:t>
            </w:r>
          </w:p>
        </w:tc>
        <w:tc>
          <w:tcPr>
            <w:tcW w:w="606" w:type="pct"/>
            <w:shd w:val="clear" w:color="auto" w:fill="D9D9D9" w:themeFill="background1" w:themeFillShade="D9"/>
            <w:noWrap/>
            <w:vAlign w:val="center"/>
          </w:tcPr>
          <w:p w14:paraId="0CF19F56" w14:textId="77777777" w:rsidR="00EB47CF" w:rsidRPr="003F03B2" w:rsidRDefault="00EB47CF" w:rsidP="0070428A">
            <w:pPr>
              <w:jc w:val="center"/>
              <w:rPr>
                <w:rFonts w:ascii="Microsoft Sans Serif" w:eastAsia="Times New Roman" w:hAnsi="Microsoft Sans Serif" w:cs="Microsoft Sans Serif"/>
                <w:sz w:val="20"/>
                <w:szCs w:val="20"/>
                <w:lang w:val="en-CA" w:eastAsia="en-CA"/>
              </w:rPr>
            </w:pPr>
          </w:p>
        </w:tc>
        <w:tc>
          <w:tcPr>
            <w:tcW w:w="606" w:type="pct"/>
            <w:shd w:val="clear" w:color="auto" w:fill="D9D9D9" w:themeFill="background1" w:themeFillShade="D9"/>
            <w:noWrap/>
            <w:vAlign w:val="center"/>
          </w:tcPr>
          <w:p w14:paraId="2C7A7119" w14:textId="77777777" w:rsidR="00EB47CF" w:rsidRPr="003F03B2" w:rsidRDefault="00EB47CF" w:rsidP="0070428A">
            <w:pPr>
              <w:jc w:val="center"/>
              <w:rPr>
                <w:rFonts w:ascii="Microsoft Sans Serif" w:eastAsia="Times New Roman" w:hAnsi="Microsoft Sans Serif" w:cs="Microsoft Sans Serif"/>
                <w:sz w:val="20"/>
                <w:szCs w:val="20"/>
                <w:lang w:val="en-CA" w:eastAsia="en-CA"/>
              </w:rPr>
            </w:pPr>
          </w:p>
        </w:tc>
        <w:tc>
          <w:tcPr>
            <w:tcW w:w="765" w:type="pct"/>
            <w:shd w:val="clear" w:color="auto" w:fill="D9D9D9" w:themeFill="background1" w:themeFillShade="D9"/>
            <w:noWrap/>
            <w:vAlign w:val="center"/>
          </w:tcPr>
          <w:p w14:paraId="7051912A" w14:textId="77777777" w:rsidR="00EB47CF" w:rsidRPr="003F03B2" w:rsidRDefault="00EB47CF" w:rsidP="0070428A">
            <w:pPr>
              <w:jc w:val="center"/>
              <w:rPr>
                <w:rFonts w:ascii="Microsoft Sans Serif" w:eastAsia="Times New Roman" w:hAnsi="Microsoft Sans Serif" w:cs="Microsoft Sans Serif"/>
                <w:sz w:val="20"/>
                <w:szCs w:val="20"/>
                <w:lang w:val="en-CA" w:eastAsia="en-CA"/>
              </w:rPr>
            </w:pPr>
          </w:p>
        </w:tc>
        <w:tc>
          <w:tcPr>
            <w:tcW w:w="606" w:type="pct"/>
            <w:shd w:val="clear" w:color="auto" w:fill="D9D9D9" w:themeFill="background1" w:themeFillShade="D9"/>
            <w:noWrap/>
            <w:vAlign w:val="center"/>
          </w:tcPr>
          <w:p w14:paraId="043AE43C" w14:textId="77777777" w:rsidR="00EB47CF" w:rsidRPr="003F03B2" w:rsidRDefault="00EB47CF" w:rsidP="0070428A">
            <w:pPr>
              <w:jc w:val="center"/>
              <w:rPr>
                <w:rFonts w:ascii="Microsoft Sans Serif" w:eastAsia="Times New Roman" w:hAnsi="Microsoft Sans Serif" w:cs="Microsoft Sans Serif"/>
                <w:sz w:val="20"/>
                <w:szCs w:val="20"/>
                <w:lang w:val="en-CA" w:eastAsia="en-CA"/>
              </w:rPr>
            </w:pPr>
          </w:p>
        </w:tc>
        <w:tc>
          <w:tcPr>
            <w:tcW w:w="605" w:type="pct"/>
            <w:shd w:val="clear" w:color="auto" w:fill="D9D9D9" w:themeFill="background1" w:themeFillShade="D9"/>
            <w:noWrap/>
            <w:vAlign w:val="center"/>
          </w:tcPr>
          <w:p w14:paraId="62527B88" w14:textId="77777777" w:rsidR="00EB47CF" w:rsidRPr="003F03B2" w:rsidRDefault="00EB47CF" w:rsidP="0070428A">
            <w:pPr>
              <w:jc w:val="center"/>
              <w:rPr>
                <w:rFonts w:ascii="Microsoft Sans Serif" w:eastAsia="Times New Roman" w:hAnsi="Microsoft Sans Serif" w:cs="Microsoft Sans Serif"/>
                <w:sz w:val="20"/>
                <w:szCs w:val="20"/>
                <w:lang w:val="en-CA" w:eastAsia="en-CA"/>
              </w:rPr>
            </w:pPr>
          </w:p>
        </w:tc>
      </w:tr>
      <w:tr w:rsidR="00EB47CF" w:rsidRPr="00724F47" w14:paraId="548CF3BB" w14:textId="77777777">
        <w:trPr>
          <w:trHeight w:val="600"/>
        </w:trPr>
        <w:tc>
          <w:tcPr>
            <w:tcW w:w="1812" w:type="pct"/>
            <w:vAlign w:val="center"/>
          </w:tcPr>
          <w:p w14:paraId="427C190C" w14:textId="77777777" w:rsidR="00EB47CF" w:rsidRPr="00724F47" w:rsidRDefault="00EB47CF" w:rsidP="00EB47CF">
            <w:pP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Engage with non-academic actors like social enterprises and not-profit?</w:t>
            </w:r>
          </w:p>
        </w:tc>
        <w:tc>
          <w:tcPr>
            <w:tcW w:w="606" w:type="pct"/>
            <w:noWrap/>
            <w:vAlign w:val="center"/>
          </w:tcPr>
          <w:p w14:paraId="2DD9CB9C" w14:textId="77777777" w:rsidR="00EB47CF" w:rsidRPr="003F03B2" w:rsidRDefault="00EB47CF" w:rsidP="00EB47CF">
            <w:pPr>
              <w:jc w:val="center"/>
              <w:rPr>
                <w:rFonts w:ascii="Microsoft Sans Serif" w:eastAsia="Times New Roman" w:hAnsi="Microsoft Sans Serif" w:cs="Microsoft Sans Serif"/>
                <w:sz w:val="20"/>
                <w:szCs w:val="20"/>
                <w:lang w:val="en-CA" w:eastAsia="en-CA"/>
              </w:rPr>
            </w:pPr>
            <w:r w:rsidRPr="003F03B2">
              <w:rPr>
                <w:rFonts w:ascii="Microsoft Sans Serif" w:eastAsia="Times New Roman" w:hAnsi="Microsoft Sans Serif" w:cs="Microsoft Sans Serif"/>
                <w:sz w:val="20"/>
                <w:szCs w:val="20"/>
                <w:lang w:val="en-CA" w:eastAsia="en-CA"/>
              </w:rPr>
              <w:t>33.8%</w:t>
            </w:r>
          </w:p>
        </w:tc>
        <w:tc>
          <w:tcPr>
            <w:tcW w:w="606" w:type="pct"/>
            <w:noWrap/>
            <w:vAlign w:val="center"/>
          </w:tcPr>
          <w:p w14:paraId="1764E8E1" w14:textId="77777777" w:rsidR="00EB47CF" w:rsidRPr="003F03B2" w:rsidRDefault="00EB47CF" w:rsidP="00EB47CF">
            <w:pPr>
              <w:jc w:val="center"/>
              <w:rPr>
                <w:rFonts w:ascii="Microsoft Sans Serif" w:eastAsia="Times New Roman" w:hAnsi="Microsoft Sans Serif" w:cs="Microsoft Sans Serif"/>
                <w:sz w:val="20"/>
                <w:szCs w:val="20"/>
                <w:lang w:val="en-CA" w:eastAsia="en-CA"/>
              </w:rPr>
            </w:pPr>
            <w:r w:rsidRPr="003F03B2">
              <w:rPr>
                <w:rFonts w:ascii="Microsoft Sans Serif" w:eastAsia="Times New Roman" w:hAnsi="Microsoft Sans Serif" w:cs="Microsoft Sans Serif"/>
                <w:sz w:val="20"/>
                <w:szCs w:val="20"/>
                <w:lang w:val="en-CA" w:eastAsia="en-CA"/>
              </w:rPr>
              <w:t>29.7%</w:t>
            </w:r>
          </w:p>
        </w:tc>
        <w:tc>
          <w:tcPr>
            <w:tcW w:w="765" w:type="pct"/>
            <w:noWrap/>
            <w:vAlign w:val="center"/>
          </w:tcPr>
          <w:p w14:paraId="1546C4FA" w14:textId="77777777" w:rsidR="00EB47CF" w:rsidRPr="003F03B2" w:rsidRDefault="00EB47CF" w:rsidP="00EB47CF">
            <w:pPr>
              <w:jc w:val="center"/>
              <w:rPr>
                <w:rFonts w:ascii="Microsoft Sans Serif" w:eastAsia="Times New Roman" w:hAnsi="Microsoft Sans Serif" w:cs="Microsoft Sans Serif"/>
                <w:sz w:val="20"/>
                <w:szCs w:val="20"/>
                <w:lang w:val="en-CA" w:eastAsia="en-CA"/>
              </w:rPr>
            </w:pPr>
            <w:r w:rsidRPr="003F03B2">
              <w:rPr>
                <w:rFonts w:ascii="Microsoft Sans Serif" w:eastAsia="Times New Roman" w:hAnsi="Microsoft Sans Serif" w:cs="Microsoft Sans Serif"/>
                <w:sz w:val="20"/>
                <w:szCs w:val="20"/>
                <w:lang w:val="en-CA" w:eastAsia="en-CA"/>
              </w:rPr>
              <w:t>19.1%</w:t>
            </w:r>
          </w:p>
        </w:tc>
        <w:tc>
          <w:tcPr>
            <w:tcW w:w="606" w:type="pct"/>
            <w:noWrap/>
            <w:vAlign w:val="center"/>
          </w:tcPr>
          <w:p w14:paraId="56FF5800" w14:textId="77777777" w:rsidR="00EB47CF" w:rsidRPr="003F03B2" w:rsidRDefault="00EB47CF" w:rsidP="00EB47CF">
            <w:pPr>
              <w:jc w:val="center"/>
              <w:rPr>
                <w:rFonts w:ascii="Microsoft Sans Serif" w:eastAsia="Times New Roman" w:hAnsi="Microsoft Sans Serif" w:cs="Microsoft Sans Serif"/>
                <w:sz w:val="20"/>
                <w:szCs w:val="20"/>
                <w:lang w:val="en-CA" w:eastAsia="en-CA"/>
              </w:rPr>
            </w:pPr>
            <w:r w:rsidRPr="003F03B2">
              <w:rPr>
                <w:rFonts w:ascii="Microsoft Sans Serif" w:eastAsia="Times New Roman" w:hAnsi="Microsoft Sans Serif" w:cs="Microsoft Sans Serif"/>
                <w:sz w:val="20"/>
                <w:szCs w:val="20"/>
                <w:lang w:val="en-CA" w:eastAsia="en-CA"/>
              </w:rPr>
              <w:t>10.3%</w:t>
            </w:r>
          </w:p>
        </w:tc>
        <w:tc>
          <w:tcPr>
            <w:tcW w:w="605" w:type="pct"/>
            <w:noWrap/>
            <w:vAlign w:val="center"/>
          </w:tcPr>
          <w:p w14:paraId="1CDFE626" w14:textId="77777777" w:rsidR="00EB47CF" w:rsidRPr="003F03B2" w:rsidRDefault="00EB47CF" w:rsidP="00EB47CF">
            <w:pPr>
              <w:jc w:val="center"/>
              <w:rPr>
                <w:rFonts w:ascii="Microsoft Sans Serif" w:eastAsia="Times New Roman" w:hAnsi="Microsoft Sans Serif" w:cs="Microsoft Sans Serif"/>
                <w:sz w:val="20"/>
                <w:szCs w:val="20"/>
                <w:lang w:val="en-CA" w:eastAsia="en-CA"/>
              </w:rPr>
            </w:pPr>
            <w:r w:rsidRPr="003F03B2">
              <w:rPr>
                <w:rFonts w:ascii="Microsoft Sans Serif" w:eastAsia="Times New Roman" w:hAnsi="Microsoft Sans Serif" w:cs="Microsoft Sans Serif"/>
                <w:sz w:val="20"/>
                <w:szCs w:val="20"/>
                <w:lang w:val="en-CA" w:eastAsia="en-CA"/>
              </w:rPr>
              <w:t>7.1%</w:t>
            </w:r>
          </w:p>
        </w:tc>
      </w:tr>
      <w:tr w:rsidR="00EB47CF" w:rsidRPr="00724F47" w14:paraId="36F167ED" w14:textId="77777777">
        <w:trPr>
          <w:trHeight w:val="375"/>
        </w:trPr>
        <w:tc>
          <w:tcPr>
            <w:tcW w:w="1812" w:type="pct"/>
            <w:vAlign w:val="center"/>
          </w:tcPr>
          <w:p w14:paraId="3E6F220D" w14:textId="77777777" w:rsidR="00EB47CF" w:rsidRPr="00724F47" w:rsidRDefault="00EB47CF" w:rsidP="00EB47CF">
            <w:pP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Engage with the private sector?</w:t>
            </w:r>
          </w:p>
        </w:tc>
        <w:tc>
          <w:tcPr>
            <w:tcW w:w="606" w:type="pct"/>
            <w:noWrap/>
            <w:vAlign w:val="center"/>
          </w:tcPr>
          <w:p w14:paraId="487A33C0" w14:textId="77777777" w:rsidR="00EB47CF" w:rsidRPr="003F03B2" w:rsidRDefault="00EB47CF" w:rsidP="00EB47CF">
            <w:pPr>
              <w:jc w:val="center"/>
              <w:rPr>
                <w:rFonts w:ascii="Microsoft Sans Serif" w:eastAsia="Times New Roman" w:hAnsi="Microsoft Sans Serif" w:cs="Microsoft Sans Serif"/>
                <w:sz w:val="20"/>
                <w:szCs w:val="20"/>
                <w:lang w:val="en-CA" w:eastAsia="en-CA"/>
              </w:rPr>
            </w:pPr>
            <w:r w:rsidRPr="003F03B2">
              <w:rPr>
                <w:rFonts w:ascii="Microsoft Sans Serif" w:eastAsia="Times New Roman" w:hAnsi="Microsoft Sans Serif" w:cs="Microsoft Sans Serif"/>
                <w:sz w:val="20"/>
                <w:szCs w:val="20"/>
                <w:lang w:val="en-CA" w:eastAsia="en-CA"/>
              </w:rPr>
              <w:t>56.9%</w:t>
            </w:r>
          </w:p>
        </w:tc>
        <w:tc>
          <w:tcPr>
            <w:tcW w:w="606" w:type="pct"/>
            <w:noWrap/>
            <w:vAlign w:val="center"/>
          </w:tcPr>
          <w:p w14:paraId="13201D3A" w14:textId="77777777" w:rsidR="00EB47CF" w:rsidRPr="003F03B2" w:rsidRDefault="00EB47CF" w:rsidP="00EB47CF">
            <w:pPr>
              <w:jc w:val="center"/>
              <w:rPr>
                <w:rFonts w:ascii="Microsoft Sans Serif" w:eastAsia="Times New Roman" w:hAnsi="Microsoft Sans Serif" w:cs="Microsoft Sans Serif"/>
                <w:sz w:val="20"/>
                <w:szCs w:val="20"/>
                <w:lang w:val="en-CA" w:eastAsia="en-CA"/>
              </w:rPr>
            </w:pPr>
            <w:r w:rsidRPr="003F03B2">
              <w:rPr>
                <w:rFonts w:ascii="Microsoft Sans Serif" w:eastAsia="Times New Roman" w:hAnsi="Microsoft Sans Serif" w:cs="Microsoft Sans Serif"/>
                <w:sz w:val="20"/>
                <w:szCs w:val="20"/>
                <w:lang w:val="en-CA" w:eastAsia="en-CA"/>
              </w:rPr>
              <w:t>27.7%</w:t>
            </w:r>
          </w:p>
        </w:tc>
        <w:tc>
          <w:tcPr>
            <w:tcW w:w="765" w:type="pct"/>
            <w:noWrap/>
            <w:vAlign w:val="center"/>
          </w:tcPr>
          <w:p w14:paraId="520DF0B1" w14:textId="77777777" w:rsidR="00EB47CF" w:rsidRPr="003F03B2" w:rsidRDefault="00EB47CF" w:rsidP="00EB47CF">
            <w:pPr>
              <w:jc w:val="center"/>
              <w:rPr>
                <w:rFonts w:ascii="Microsoft Sans Serif" w:eastAsia="Times New Roman" w:hAnsi="Microsoft Sans Serif" w:cs="Microsoft Sans Serif"/>
                <w:sz w:val="20"/>
                <w:szCs w:val="20"/>
                <w:lang w:val="en-CA" w:eastAsia="en-CA"/>
              </w:rPr>
            </w:pPr>
            <w:r w:rsidRPr="003F03B2">
              <w:rPr>
                <w:rFonts w:ascii="Microsoft Sans Serif" w:eastAsia="Times New Roman" w:hAnsi="Microsoft Sans Serif" w:cs="Microsoft Sans Serif"/>
                <w:sz w:val="20"/>
                <w:szCs w:val="20"/>
                <w:lang w:val="en-CA" w:eastAsia="en-CA"/>
              </w:rPr>
              <w:t>11.2%</w:t>
            </w:r>
          </w:p>
        </w:tc>
        <w:tc>
          <w:tcPr>
            <w:tcW w:w="606" w:type="pct"/>
            <w:noWrap/>
            <w:vAlign w:val="center"/>
          </w:tcPr>
          <w:p w14:paraId="7BD7A019" w14:textId="77777777" w:rsidR="00EB47CF" w:rsidRPr="003F03B2" w:rsidRDefault="00EB47CF" w:rsidP="00EB47CF">
            <w:pPr>
              <w:jc w:val="center"/>
              <w:rPr>
                <w:rFonts w:ascii="Microsoft Sans Serif" w:eastAsia="Times New Roman" w:hAnsi="Microsoft Sans Serif" w:cs="Microsoft Sans Serif"/>
                <w:sz w:val="20"/>
                <w:szCs w:val="20"/>
                <w:lang w:val="en-CA" w:eastAsia="en-CA"/>
              </w:rPr>
            </w:pPr>
            <w:r w:rsidRPr="003F03B2">
              <w:rPr>
                <w:rFonts w:ascii="Microsoft Sans Serif" w:eastAsia="Times New Roman" w:hAnsi="Microsoft Sans Serif" w:cs="Microsoft Sans Serif"/>
                <w:sz w:val="20"/>
                <w:szCs w:val="20"/>
                <w:lang w:val="en-CA" w:eastAsia="en-CA"/>
              </w:rPr>
              <w:t>3.2%</w:t>
            </w:r>
          </w:p>
        </w:tc>
        <w:tc>
          <w:tcPr>
            <w:tcW w:w="605" w:type="pct"/>
            <w:noWrap/>
            <w:vAlign w:val="center"/>
          </w:tcPr>
          <w:p w14:paraId="1A25CB35" w14:textId="77777777" w:rsidR="00EB47CF" w:rsidRPr="003F03B2" w:rsidRDefault="00EB47CF" w:rsidP="00EB47CF">
            <w:pPr>
              <w:jc w:val="center"/>
              <w:rPr>
                <w:rFonts w:ascii="Microsoft Sans Serif" w:eastAsia="Times New Roman" w:hAnsi="Microsoft Sans Serif" w:cs="Microsoft Sans Serif"/>
                <w:sz w:val="20"/>
                <w:szCs w:val="20"/>
                <w:lang w:val="en-CA" w:eastAsia="en-CA"/>
              </w:rPr>
            </w:pPr>
            <w:r w:rsidRPr="003F03B2">
              <w:rPr>
                <w:rFonts w:ascii="Microsoft Sans Serif" w:eastAsia="Times New Roman" w:hAnsi="Microsoft Sans Serif" w:cs="Microsoft Sans Serif"/>
                <w:sz w:val="20"/>
                <w:szCs w:val="20"/>
                <w:lang w:val="en-CA" w:eastAsia="en-CA"/>
              </w:rPr>
              <w:t>0.9%</w:t>
            </w:r>
          </w:p>
        </w:tc>
      </w:tr>
    </w:tbl>
    <w:p w14:paraId="662CC75C" w14:textId="77777777" w:rsidR="003B60EF" w:rsidRDefault="003B60EF" w:rsidP="00327849">
      <w:pPr>
        <w:spacing w:line="360" w:lineRule="auto"/>
      </w:pPr>
    </w:p>
    <w:p w14:paraId="5EE91393" w14:textId="77777777" w:rsidR="00987F7E" w:rsidRDefault="00CB008A" w:rsidP="00327849">
      <w:pPr>
        <w:spacing w:line="360" w:lineRule="auto"/>
      </w:pPr>
      <w:r>
        <w:t>Public se</w:t>
      </w:r>
      <w:r w:rsidR="00902643">
        <w:t>rvice</w:t>
      </w:r>
      <w:r>
        <w:t xml:space="preserve"> executives have a much higher frequency of contact with both communities. This is unsurprising considering that often academic work is extremely focused and specialized and that the main drivers of promotion and tenure both are academic production and publication</w:t>
      </w:r>
      <w:r w:rsidR="00466BE9">
        <w:t>s</w:t>
      </w:r>
      <w:r>
        <w:t>. So for academics, often enough, the third sector and the private sector are a subject of study rather than a partner. For the public service the equation is often reversed</w:t>
      </w:r>
      <w:r w:rsidR="00724F47">
        <w:t xml:space="preserve">. Hence, in an age of New Public Management principles, engagement with these realities is much more frequent and – most likely </w:t>
      </w:r>
      <w:r w:rsidR="0037552C">
        <w:t>– much more substantial than with</w:t>
      </w:r>
      <w:r w:rsidR="00724F47">
        <w:t xml:space="preserve"> academia.</w:t>
      </w:r>
      <w:r w:rsidR="00987F7E">
        <w:t xml:space="preserve"> Once again, it may be naïve to expect that academia would be able to match engagement with the private sector, but it should be able to score a bit better </w:t>
      </w:r>
      <w:r w:rsidR="00466BE9">
        <w:t>with</w:t>
      </w:r>
      <w:r w:rsidR="00987F7E">
        <w:t xml:space="preserve"> the non-profit sector.</w:t>
      </w:r>
    </w:p>
    <w:p w14:paraId="2EA0D19C" w14:textId="77777777" w:rsidR="00987F7E" w:rsidRDefault="00987F7E" w:rsidP="00327849">
      <w:pPr>
        <w:spacing w:line="360" w:lineRule="auto"/>
      </w:pPr>
    </w:p>
    <w:p w14:paraId="6A961407" w14:textId="77777777" w:rsidR="00EB47CF" w:rsidRDefault="00724F47" w:rsidP="00327849">
      <w:pPr>
        <w:spacing w:line="360" w:lineRule="auto"/>
      </w:pPr>
      <w:r>
        <w:t>Finally, we can assess the relative frequency with which academics and public se</w:t>
      </w:r>
      <w:r w:rsidR="00902643">
        <w:t>rvice</w:t>
      </w:r>
      <w:r>
        <w:t xml:space="preserve"> executive</w:t>
      </w:r>
      <w:r w:rsidR="005B0F4B">
        <w:t>s</w:t>
      </w:r>
      <w:r>
        <w:t xml:space="preserve"> engage in research </w:t>
      </w:r>
      <w:r w:rsidR="00D93E7E">
        <w:t>with (or</w:t>
      </w:r>
      <w:r w:rsidR="00AC4879">
        <w:t xml:space="preserve"> about) one another. In table 10</w:t>
      </w:r>
      <w:r w:rsidR="00D93E7E">
        <w:t xml:space="preserve"> below, </w:t>
      </w:r>
      <w:r w:rsidR="00D93E7E">
        <w:lastRenderedPageBreak/>
        <w:t>we can see how</w:t>
      </w:r>
      <w:r w:rsidR="005B0F4B">
        <w:t xml:space="preserve"> a fair amount of academic respondents (about 53%) has in the past year engaged in surveying or interviewing members of the public service. This appears to be a relatively high percentage of direct research emerging from this sample.</w:t>
      </w:r>
      <w:r w:rsidR="00725E6C">
        <w:t xml:space="preserve"> However, among academics, it is less common to partner with a public ser</w:t>
      </w:r>
      <w:r w:rsidR="00535FB9">
        <w:t>vant to engage in this research: only about 34% of them did in the past 12 months. Conversely, the respondents of the survey and their senior staff often engaged and participated in academic research in large numbers: 89%</w:t>
      </w:r>
      <w:r w:rsidR="00AC4879">
        <w:t xml:space="preserve"> </w:t>
      </w:r>
      <w:r w:rsidR="003F03B2">
        <w:t>of them reported such an engagement in the previous year.</w:t>
      </w:r>
    </w:p>
    <w:p w14:paraId="1A8B3FE4" w14:textId="77777777" w:rsidR="00724F47" w:rsidRDefault="00724F47" w:rsidP="00327849">
      <w:pPr>
        <w:spacing w:line="360" w:lineRule="auto"/>
      </w:pPr>
    </w:p>
    <w:p w14:paraId="6B1EBE28" w14:textId="77777777" w:rsidR="003B60EF" w:rsidRDefault="003B60EF" w:rsidP="00327849">
      <w:pPr>
        <w:spacing w:line="360" w:lineRule="auto"/>
      </w:pPr>
      <w:r w:rsidRPr="00135364">
        <w:rPr>
          <w:i/>
        </w:rPr>
        <w:t xml:space="preserve">Table </w:t>
      </w:r>
      <w:r w:rsidR="00AC4879">
        <w:rPr>
          <w:i/>
        </w:rPr>
        <w:t>10</w:t>
      </w:r>
      <w:r w:rsidRPr="00135364">
        <w:rPr>
          <w:i/>
        </w:rPr>
        <w:t xml:space="preserve">. </w:t>
      </w:r>
      <w:r>
        <w:rPr>
          <w:i/>
        </w:rPr>
        <w:t xml:space="preserve">Research Engagement by Partner Type </w:t>
      </w:r>
    </w:p>
    <w:tbl>
      <w:tblPr>
        <w:tblStyle w:val="Tableausimple1"/>
        <w:tblW w:w="5000" w:type="pct"/>
        <w:tblLook w:val="04A0" w:firstRow="1" w:lastRow="0" w:firstColumn="1" w:lastColumn="0" w:noHBand="0" w:noVBand="1"/>
      </w:tblPr>
      <w:tblGrid>
        <w:gridCol w:w="3210"/>
        <w:gridCol w:w="1073"/>
        <w:gridCol w:w="1073"/>
        <w:gridCol w:w="1355"/>
        <w:gridCol w:w="1073"/>
        <w:gridCol w:w="1072"/>
      </w:tblGrid>
      <w:tr w:rsidR="003B60EF" w:rsidRPr="00724F47" w14:paraId="665F52D7" w14:textId="77777777">
        <w:trPr>
          <w:cnfStyle w:val="100000000000" w:firstRow="1" w:lastRow="0" w:firstColumn="0" w:lastColumn="0" w:oddVBand="0" w:evenVBand="0" w:oddHBand="0" w:evenHBand="0" w:firstRowFirstColumn="0" w:firstRowLastColumn="0" w:lastRowFirstColumn="0" w:lastRowLastColumn="0"/>
          <w:trHeight w:val="821"/>
        </w:trPr>
        <w:tc>
          <w:tcPr>
            <w:tcW w:w="1812" w:type="pct"/>
            <w:noWrap/>
          </w:tcPr>
          <w:p w14:paraId="1571E471" w14:textId="77777777" w:rsidR="003B60EF" w:rsidRPr="00724F47" w:rsidRDefault="003B60EF" w:rsidP="003B60EF">
            <w:pPr>
              <w:rPr>
                <w:rFonts w:ascii="Microsoft Sans Serif" w:eastAsia="Times New Roman" w:hAnsi="Microsoft Sans Serif" w:cs="Microsoft Sans Serif"/>
                <w:sz w:val="16"/>
                <w:szCs w:val="16"/>
                <w:lang w:val="en-CA" w:eastAsia="en-CA"/>
              </w:rPr>
            </w:pPr>
          </w:p>
        </w:tc>
        <w:tc>
          <w:tcPr>
            <w:tcW w:w="606" w:type="pct"/>
          </w:tcPr>
          <w:p w14:paraId="4D5589B5" w14:textId="77777777" w:rsidR="003B60EF" w:rsidRPr="00724F47" w:rsidRDefault="003B60EF" w:rsidP="003B60EF">
            <w:pPr>
              <w:jc w:val="center"/>
              <w:rPr>
                <w:rFonts w:ascii="Microsoft Sans Serif" w:eastAsia="Times New Roman" w:hAnsi="Microsoft Sans Serif" w:cs="Microsoft Sans Serif"/>
                <w:b/>
                <w:bCs/>
                <w:sz w:val="18"/>
                <w:szCs w:val="18"/>
                <w:lang w:val="en-CA" w:eastAsia="en-CA"/>
              </w:rPr>
            </w:pPr>
            <w:r w:rsidRPr="00724F47">
              <w:rPr>
                <w:rFonts w:ascii="Microsoft Sans Serif" w:eastAsia="Times New Roman" w:hAnsi="Microsoft Sans Serif" w:cs="Microsoft Sans Serif"/>
                <w:b/>
                <w:bCs/>
                <w:sz w:val="18"/>
                <w:szCs w:val="18"/>
                <w:lang w:val="en-CA" w:eastAsia="en-CA"/>
              </w:rPr>
              <w:t xml:space="preserve">Never </w:t>
            </w:r>
          </w:p>
        </w:tc>
        <w:tc>
          <w:tcPr>
            <w:tcW w:w="606" w:type="pct"/>
          </w:tcPr>
          <w:p w14:paraId="6590C99B" w14:textId="77777777" w:rsidR="003B60EF" w:rsidRPr="00724F47" w:rsidRDefault="003B60EF" w:rsidP="003B60EF">
            <w:pPr>
              <w:jc w:val="center"/>
              <w:rPr>
                <w:rFonts w:ascii="Microsoft Sans Serif" w:eastAsia="Times New Roman" w:hAnsi="Microsoft Sans Serif" w:cs="Microsoft Sans Serif"/>
                <w:b/>
                <w:bCs/>
                <w:sz w:val="16"/>
                <w:szCs w:val="16"/>
                <w:lang w:val="en-CA" w:eastAsia="en-CA"/>
              </w:rPr>
            </w:pPr>
            <w:r w:rsidRPr="00724F47">
              <w:rPr>
                <w:rFonts w:ascii="Microsoft Sans Serif" w:eastAsia="Times New Roman" w:hAnsi="Microsoft Sans Serif" w:cs="Microsoft Sans Serif"/>
                <w:b/>
                <w:bCs/>
                <w:sz w:val="18"/>
                <w:szCs w:val="18"/>
                <w:lang w:val="en-CA" w:eastAsia="en-CA"/>
              </w:rPr>
              <w:t>Seldom</w:t>
            </w:r>
            <w:r w:rsidRPr="00724F47">
              <w:rPr>
                <w:rFonts w:ascii="Microsoft Sans Serif" w:eastAsia="Times New Roman" w:hAnsi="Microsoft Sans Serif" w:cs="Microsoft Sans Serif"/>
                <w:b/>
                <w:bCs/>
                <w:sz w:val="16"/>
                <w:szCs w:val="16"/>
                <w:lang w:val="en-CA" w:eastAsia="en-CA"/>
              </w:rPr>
              <w:t xml:space="preserve"> (not more than twice per year)</w:t>
            </w:r>
          </w:p>
        </w:tc>
        <w:tc>
          <w:tcPr>
            <w:tcW w:w="765" w:type="pct"/>
          </w:tcPr>
          <w:p w14:paraId="7E932BE0" w14:textId="77777777" w:rsidR="003B60EF" w:rsidRPr="00724F47" w:rsidRDefault="003B60EF" w:rsidP="003B60EF">
            <w:pPr>
              <w:jc w:val="center"/>
              <w:rPr>
                <w:rFonts w:ascii="Microsoft Sans Serif" w:eastAsia="Times New Roman" w:hAnsi="Microsoft Sans Serif" w:cs="Microsoft Sans Serif"/>
                <w:b/>
                <w:bCs/>
                <w:sz w:val="16"/>
                <w:szCs w:val="16"/>
                <w:lang w:val="en-CA" w:eastAsia="en-CA"/>
              </w:rPr>
            </w:pPr>
            <w:r w:rsidRPr="00724F47">
              <w:rPr>
                <w:rFonts w:ascii="Microsoft Sans Serif" w:eastAsia="Times New Roman" w:hAnsi="Microsoft Sans Serif" w:cs="Microsoft Sans Serif"/>
                <w:b/>
                <w:bCs/>
                <w:sz w:val="18"/>
                <w:szCs w:val="18"/>
                <w:lang w:val="en-CA" w:eastAsia="en-CA"/>
              </w:rPr>
              <w:t>Occasionally</w:t>
            </w:r>
            <w:r w:rsidRPr="00724F47">
              <w:rPr>
                <w:rFonts w:ascii="Microsoft Sans Serif" w:eastAsia="Times New Roman" w:hAnsi="Microsoft Sans Serif" w:cs="Microsoft Sans Serif"/>
                <w:b/>
                <w:bCs/>
                <w:sz w:val="16"/>
                <w:szCs w:val="16"/>
                <w:lang w:val="en-CA" w:eastAsia="en-CA"/>
              </w:rPr>
              <w:t xml:space="preserve"> (at least every three months)</w:t>
            </w:r>
          </w:p>
        </w:tc>
        <w:tc>
          <w:tcPr>
            <w:tcW w:w="606" w:type="pct"/>
          </w:tcPr>
          <w:p w14:paraId="6F073824" w14:textId="77777777" w:rsidR="00724F47" w:rsidRDefault="003B60EF" w:rsidP="003B60EF">
            <w:pPr>
              <w:jc w:val="center"/>
              <w:rPr>
                <w:rFonts w:ascii="Microsoft Sans Serif" w:eastAsia="Times New Roman" w:hAnsi="Microsoft Sans Serif" w:cs="Microsoft Sans Serif"/>
                <w:b/>
                <w:bCs/>
                <w:sz w:val="16"/>
                <w:szCs w:val="16"/>
                <w:lang w:val="en-CA" w:eastAsia="en-CA"/>
              </w:rPr>
            </w:pPr>
            <w:r w:rsidRPr="00724F47">
              <w:rPr>
                <w:rFonts w:ascii="Microsoft Sans Serif" w:eastAsia="Times New Roman" w:hAnsi="Microsoft Sans Serif" w:cs="Microsoft Sans Serif"/>
                <w:b/>
                <w:bCs/>
                <w:sz w:val="18"/>
                <w:szCs w:val="18"/>
                <w:lang w:val="en-CA" w:eastAsia="en-CA"/>
              </w:rPr>
              <w:t>Often</w:t>
            </w:r>
            <w:r w:rsidRPr="00724F47">
              <w:rPr>
                <w:rFonts w:ascii="Microsoft Sans Serif" w:eastAsia="Times New Roman" w:hAnsi="Microsoft Sans Serif" w:cs="Microsoft Sans Serif"/>
                <w:b/>
                <w:bCs/>
                <w:sz w:val="16"/>
                <w:szCs w:val="16"/>
                <w:lang w:val="en-CA" w:eastAsia="en-CA"/>
              </w:rPr>
              <w:t xml:space="preserve"> </w:t>
            </w:r>
          </w:p>
          <w:p w14:paraId="0301C261" w14:textId="77777777" w:rsidR="003B60EF" w:rsidRPr="00724F47" w:rsidRDefault="003B60EF" w:rsidP="003B60EF">
            <w:pPr>
              <w:jc w:val="center"/>
              <w:rPr>
                <w:rFonts w:ascii="Microsoft Sans Serif" w:eastAsia="Times New Roman" w:hAnsi="Microsoft Sans Serif" w:cs="Microsoft Sans Serif"/>
                <w:b/>
                <w:bCs/>
                <w:sz w:val="16"/>
                <w:szCs w:val="16"/>
                <w:lang w:val="en-CA" w:eastAsia="en-CA"/>
              </w:rPr>
            </w:pPr>
            <w:r w:rsidRPr="00724F47">
              <w:rPr>
                <w:rFonts w:ascii="Microsoft Sans Serif" w:eastAsia="Times New Roman" w:hAnsi="Microsoft Sans Serif" w:cs="Microsoft Sans Serif"/>
                <w:b/>
                <w:bCs/>
                <w:sz w:val="16"/>
                <w:szCs w:val="16"/>
                <w:lang w:val="en-CA" w:eastAsia="en-CA"/>
              </w:rPr>
              <w:t>(at least every month)</w:t>
            </w:r>
          </w:p>
        </w:tc>
        <w:tc>
          <w:tcPr>
            <w:tcW w:w="605" w:type="pct"/>
          </w:tcPr>
          <w:p w14:paraId="758ABC1B" w14:textId="77777777" w:rsidR="003B60EF" w:rsidRPr="00724F47" w:rsidRDefault="003B60EF" w:rsidP="003B60EF">
            <w:pPr>
              <w:jc w:val="center"/>
              <w:rPr>
                <w:rFonts w:ascii="Microsoft Sans Serif" w:eastAsia="Times New Roman" w:hAnsi="Microsoft Sans Serif" w:cs="Microsoft Sans Serif"/>
                <w:b/>
                <w:bCs/>
                <w:sz w:val="16"/>
                <w:szCs w:val="16"/>
                <w:lang w:val="en-CA" w:eastAsia="en-CA"/>
              </w:rPr>
            </w:pPr>
            <w:r w:rsidRPr="00724F47">
              <w:rPr>
                <w:rFonts w:ascii="Microsoft Sans Serif" w:eastAsia="Times New Roman" w:hAnsi="Microsoft Sans Serif" w:cs="Microsoft Sans Serif"/>
                <w:b/>
                <w:bCs/>
                <w:sz w:val="18"/>
                <w:szCs w:val="18"/>
                <w:lang w:val="en-CA" w:eastAsia="en-CA"/>
              </w:rPr>
              <w:t>Very Often</w:t>
            </w:r>
            <w:r w:rsidRPr="00724F47">
              <w:rPr>
                <w:rFonts w:ascii="Microsoft Sans Serif" w:eastAsia="Times New Roman" w:hAnsi="Microsoft Sans Serif" w:cs="Microsoft Sans Serif"/>
                <w:b/>
                <w:bCs/>
                <w:sz w:val="16"/>
                <w:szCs w:val="16"/>
                <w:lang w:val="en-CA" w:eastAsia="en-CA"/>
              </w:rPr>
              <w:t xml:space="preserve"> (more than twice per month)</w:t>
            </w:r>
          </w:p>
        </w:tc>
      </w:tr>
      <w:tr w:rsidR="00724F47" w:rsidRPr="00724F47" w14:paraId="0228E689" w14:textId="77777777">
        <w:trPr>
          <w:trHeight w:val="343"/>
        </w:trPr>
        <w:tc>
          <w:tcPr>
            <w:tcW w:w="1812" w:type="pct"/>
            <w:shd w:val="clear" w:color="auto" w:fill="D9D9D9" w:themeFill="background1" w:themeFillShade="D9"/>
            <w:vAlign w:val="center"/>
          </w:tcPr>
          <w:p w14:paraId="71F9FCC3" w14:textId="77777777" w:rsidR="00724F47" w:rsidRPr="003F03B2" w:rsidRDefault="00724F47" w:rsidP="00724F47">
            <w:pPr>
              <w:rPr>
                <w:rFonts w:ascii="Microsoft Sans Serif" w:eastAsia="Times New Roman" w:hAnsi="Microsoft Sans Serif" w:cs="Microsoft Sans Serif"/>
                <w:i/>
                <w:sz w:val="18"/>
                <w:szCs w:val="18"/>
                <w:lang w:val="en-CA" w:eastAsia="en-CA"/>
              </w:rPr>
            </w:pPr>
            <w:r w:rsidRPr="003F03B2">
              <w:rPr>
                <w:rFonts w:ascii="Microsoft Sans Serif" w:eastAsia="Times New Roman" w:hAnsi="Microsoft Sans Serif" w:cs="Microsoft Sans Serif"/>
                <w:i/>
                <w:sz w:val="18"/>
                <w:szCs w:val="18"/>
                <w:lang w:val="en-CA" w:eastAsia="en-CA"/>
              </w:rPr>
              <w:t>Canadian Academics</w:t>
            </w:r>
          </w:p>
        </w:tc>
        <w:tc>
          <w:tcPr>
            <w:tcW w:w="606" w:type="pct"/>
            <w:shd w:val="clear" w:color="auto" w:fill="D9D9D9" w:themeFill="background1" w:themeFillShade="D9"/>
            <w:noWrap/>
            <w:vAlign w:val="center"/>
          </w:tcPr>
          <w:p w14:paraId="1E62ABF2" w14:textId="77777777" w:rsidR="00724F47" w:rsidRPr="00724F47" w:rsidRDefault="00724F47" w:rsidP="00724F47">
            <w:pPr>
              <w:jc w:val="center"/>
              <w:rPr>
                <w:rFonts w:ascii="Microsoft Sans Serif" w:eastAsia="Times New Roman" w:hAnsi="Microsoft Sans Serif" w:cs="Microsoft Sans Serif"/>
                <w:sz w:val="18"/>
                <w:szCs w:val="18"/>
                <w:lang w:val="en-CA" w:eastAsia="en-CA"/>
              </w:rPr>
            </w:pPr>
          </w:p>
        </w:tc>
        <w:tc>
          <w:tcPr>
            <w:tcW w:w="606" w:type="pct"/>
            <w:shd w:val="clear" w:color="auto" w:fill="D9D9D9" w:themeFill="background1" w:themeFillShade="D9"/>
            <w:noWrap/>
            <w:vAlign w:val="center"/>
          </w:tcPr>
          <w:p w14:paraId="4A6B13FE" w14:textId="77777777" w:rsidR="00724F47" w:rsidRPr="00724F47" w:rsidRDefault="00724F47" w:rsidP="00724F47">
            <w:pPr>
              <w:jc w:val="center"/>
              <w:rPr>
                <w:rFonts w:ascii="Microsoft Sans Serif" w:eastAsia="Times New Roman" w:hAnsi="Microsoft Sans Serif" w:cs="Microsoft Sans Serif"/>
                <w:sz w:val="18"/>
                <w:szCs w:val="18"/>
                <w:lang w:val="en-CA" w:eastAsia="en-CA"/>
              </w:rPr>
            </w:pPr>
          </w:p>
        </w:tc>
        <w:tc>
          <w:tcPr>
            <w:tcW w:w="765" w:type="pct"/>
            <w:shd w:val="clear" w:color="auto" w:fill="D9D9D9" w:themeFill="background1" w:themeFillShade="D9"/>
            <w:noWrap/>
            <w:vAlign w:val="center"/>
          </w:tcPr>
          <w:p w14:paraId="08EAD024" w14:textId="77777777" w:rsidR="00724F47" w:rsidRPr="00724F47" w:rsidRDefault="00724F47" w:rsidP="00724F47">
            <w:pPr>
              <w:jc w:val="center"/>
              <w:rPr>
                <w:rFonts w:ascii="Microsoft Sans Serif" w:eastAsia="Times New Roman" w:hAnsi="Microsoft Sans Serif" w:cs="Microsoft Sans Serif"/>
                <w:sz w:val="18"/>
                <w:szCs w:val="18"/>
                <w:lang w:val="en-CA" w:eastAsia="en-CA"/>
              </w:rPr>
            </w:pPr>
          </w:p>
        </w:tc>
        <w:tc>
          <w:tcPr>
            <w:tcW w:w="606" w:type="pct"/>
            <w:shd w:val="clear" w:color="auto" w:fill="D9D9D9" w:themeFill="background1" w:themeFillShade="D9"/>
            <w:noWrap/>
            <w:vAlign w:val="center"/>
          </w:tcPr>
          <w:p w14:paraId="333FB8E4" w14:textId="77777777" w:rsidR="00724F47" w:rsidRPr="00724F47" w:rsidRDefault="00724F47" w:rsidP="00724F47">
            <w:pPr>
              <w:jc w:val="center"/>
              <w:rPr>
                <w:rFonts w:ascii="Microsoft Sans Serif" w:eastAsia="Times New Roman" w:hAnsi="Microsoft Sans Serif" w:cs="Microsoft Sans Serif"/>
                <w:sz w:val="18"/>
                <w:szCs w:val="18"/>
                <w:lang w:val="en-CA" w:eastAsia="en-CA"/>
              </w:rPr>
            </w:pPr>
          </w:p>
        </w:tc>
        <w:tc>
          <w:tcPr>
            <w:tcW w:w="605" w:type="pct"/>
            <w:shd w:val="clear" w:color="auto" w:fill="D9D9D9" w:themeFill="background1" w:themeFillShade="D9"/>
            <w:noWrap/>
            <w:vAlign w:val="center"/>
          </w:tcPr>
          <w:p w14:paraId="2EA4C511" w14:textId="77777777" w:rsidR="00724F47" w:rsidRPr="00724F47" w:rsidRDefault="00724F47" w:rsidP="00724F47">
            <w:pPr>
              <w:jc w:val="center"/>
              <w:rPr>
                <w:rFonts w:ascii="Microsoft Sans Serif" w:eastAsia="Times New Roman" w:hAnsi="Microsoft Sans Serif" w:cs="Microsoft Sans Serif"/>
                <w:sz w:val="18"/>
                <w:szCs w:val="18"/>
                <w:lang w:val="en-CA" w:eastAsia="en-CA"/>
              </w:rPr>
            </w:pPr>
          </w:p>
        </w:tc>
      </w:tr>
      <w:tr w:rsidR="003B60EF" w:rsidRPr="00724F47" w14:paraId="42F337CE" w14:textId="77777777">
        <w:trPr>
          <w:trHeight w:val="975"/>
        </w:trPr>
        <w:tc>
          <w:tcPr>
            <w:tcW w:w="1812" w:type="pct"/>
          </w:tcPr>
          <w:p w14:paraId="7620C293" w14:textId="77777777" w:rsidR="003B60EF" w:rsidRPr="00724F47" w:rsidRDefault="003B60EF" w:rsidP="003B60EF">
            <w:pP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Did you partner with a member of the public service in undertaking academic research that included contact with members of government or the public administration?</w:t>
            </w:r>
          </w:p>
        </w:tc>
        <w:tc>
          <w:tcPr>
            <w:tcW w:w="606" w:type="pct"/>
            <w:noWrap/>
            <w:vAlign w:val="center"/>
          </w:tcPr>
          <w:p w14:paraId="61D57312" w14:textId="77777777" w:rsidR="003B60EF" w:rsidRPr="003F03B2" w:rsidRDefault="003B60EF" w:rsidP="003B60EF">
            <w:pPr>
              <w:jc w:val="center"/>
              <w:rPr>
                <w:rFonts w:ascii="Microsoft Sans Serif" w:eastAsia="Times New Roman" w:hAnsi="Microsoft Sans Serif" w:cs="Microsoft Sans Serif"/>
                <w:sz w:val="20"/>
                <w:szCs w:val="20"/>
                <w:lang w:val="en-CA" w:eastAsia="en-CA"/>
              </w:rPr>
            </w:pPr>
            <w:r w:rsidRPr="003F03B2">
              <w:rPr>
                <w:rFonts w:ascii="Microsoft Sans Serif" w:eastAsia="Times New Roman" w:hAnsi="Microsoft Sans Serif" w:cs="Microsoft Sans Serif"/>
                <w:sz w:val="20"/>
                <w:szCs w:val="20"/>
                <w:lang w:val="en-CA" w:eastAsia="en-CA"/>
              </w:rPr>
              <w:t>65.8%</w:t>
            </w:r>
          </w:p>
        </w:tc>
        <w:tc>
          <w:tcPr>
            <w:tcW w:w="606" w:type="pct"/>
            <w:noWrap/>
            <w:vAlign w:val="center"/>
          </w:tcPr>
          <w:p w14:paraId="54AC5912" w14:textId="77777777" w:rsidR="003B60EF" w:rsidRPr="003F03B2" w:rsidRDefault="003B60EF" w:rsidP="003B60EF">
            <w:pPr>
              <w:jc w:val="center"/>
              <w:rPr>
                <w:rFonts w:ascii="Microsoft Sans Serif" w:eastAsia="Times New Roman" w:hAnsi="Microsoft Sans Serif" w:cs="Microsoft Sans Serif"/>
                <w:sz w:val="20"/>
                <w:szCs w:val="20"/>
                <w:lang w:val="en-CA" w:eastAsia="en-CA"/>
              </w:rPr>
            </w:pPr>
            <w:r w:rsidRPr="003F03B2">
              <w:rPr>
                <w:rFonts w:ascii="Microsoft Sans Serif" w:eastAsia="Times New Roman" w:hAnsi="Microsoft Sans Serif" w:cs="Microsoft Sans Serif"/>
                <w:sz w:val="20"/>
                <w:szCs w:val="20"/>
                <w:lang w:val="en-CA" w:eastAsia="en-CA"/>
              </w:rPr>
              <w:t>18.1%</w:t>
            </w:r>
          </w:p>
        </w:tc>
        <w:tc>
          <w:tcPr>
            <w:tcW w:w="765" w:type="pct"/>
            <w:noWrap/>
            <w:vAlign w:val="center"/>
          </w:tcPr>
          <w:p w14:paraId="72E1F814" w14:textId="77777777" w:rsidR="003B60EF" w:rsidRPr="003F03B2" w:rsidRDefault="003B60EF" w:rsidP="003B60EF">
            <w:pPr>
              <w:jc w:val="center"/>
              <w:rPr>
                <w:rFonts w:ascii="Microsoft Sans Serif" w:eastAsia="Times New Roman" w:hAnsi="Microsoft Sans Serif" w:cs="Microsoft Sans Serif"/>
                <w:sz w:val="20"/>
                <w:szCs w:val="20"/>
                <w:lang w:val="en-CA" w:eastAsia="en-CA"/>
              </w:rPr>
            </w:pPr>
            <w:r w:rsidRPr="003F03B2">
              <w:rPr>
                <w:rFonts w:ascii="Microsoft Sans Serif" w:eastAsia="Times New Roman" w:hAnsi="Microsoft Sans Serif" w:cs="Microsoft Sans Serif"/>
                <w:sz w:val="20"/>
                <w:szCs w:val="20"/>
                <w:lang w:val="en-CA" w:eastAsia="en-CA"/>
              </w:rPr>
              <w:t>8.5%</w:t>
            </w:r>
          </w:p>
        </w:tc>
        <w:tc>
          <w:tcPr>
            <w:tcW w:w="606" w:type="pct"/>
            <w:noWrap/>
            <w:vAlign w:val="center"/>
          </w:tcPr>
          <w:p w14:paraId="61F710B9" w14:textId="77777777" w:rsidR="003B60EF" w:rsidRPr="003F03B2" w:rsidRDefault="003B60EF" w:rsidP="003B60EF">
            <w:pPr>
              <w:jc w:val="center"/>
              <w:rPr>
                <w:rFonts w:ascii="Microsoft Sans Serif" w:eastAsia="Times New Roman" w:hAnsi="Microsoft Sans Serif" w:cs="Microsoft Sans Serif"/>
                <w:sz w:val="20"/>
                <w:szCs w:val="20"/>
                <w:lang w:val="en-CA" w:eastAsia="en-CA"/>
              </w:rPr>
            </w:pPr>
            <w:r w:rsidRPr="003F03B2">
              <w:rPr>
                <w:rFonts w:ascii="Microsoft Sans Serif" w:eastAsia="Times New Roman" w:hAnsi="Microsoft Sans Serif" w:cs="Microsoft Sans Serif"/>
                <w:sz w:val="20"/>
                <w:szCs w:val="20"/>
                <w:lang w:val="en-CA" w:eastAsia="en-CA"/>
              </w:rPr>
              <w:t>5.6%</w:t>
            </w:r>
          </w:p>
        </w:tc>
        <w:tc>
          <w:tcPr>
            <w:tcW w:w="605" w:type="pct"/>
            <w:noWrap/>
            <w:vAlign w:val="center"/>
          </w:tcPr>
          <w:p w14:paraId="5E4973FA" w14:textId="77777777" w:rsidR="003B60EF" w:rsidRPr="003F03B2" w:rsidRDefault="003B60EF" w:rsidP="003B60EF">
            <w:pPr>
              <w:jc w:val="center"/>
              <w:rPr>
                <w:rFonts w:ascii="Microsoft Sans Serif" w:eastAsia="Times New Roman" w:hAnsi="Microsoft Sans Serif" w:cs="Microsoft Sans Serif"/>
                <w:sz w:val="20"/>
                <w:szCs w:val="20"/>
                <w:lang w:val="en-CA" w:eastAsia="en-CA"/>
              </w:rPr>
            </w:pPr>
            <w:r w:rsidRPr="003F03B2">
              <w:rPr>
                <w:rFonts w:ascii="Microsoft Sans Serif" w:eastAsia="Times New Roman" w:hAnsi="Microsoft Sans Serif" w:cs="Microsoft Sans Serif"/>
                <w:sz w:val="20"/>
                <w:szCs w:val="20"/>
                <w:lang w:val="en-CA" w:eastAsia="en-CA"/>
              </w:rPr>
              <w:t>2.0%</w:t>
            </w:r>
          </w:p>
        </w:tc>
      </w:tr>
      <w:tr w:rsidR="003B60EF" w:rsidRPr="00724F47" w14:paraId="0E658595" w14:textId="77777777">
        <w:trPr>
          <w:trHeight w:val="975"/>
        </w:trPr>
        <w:tc>
          <w:tcPr>
            <w:tcW w:w="1812" w:type="pct"/>
          </w:tcPr>
          <w:p w14:paraId="07B0A897" w14:textId="77777777" w:rsidR="003B60EF" w:rsidRPr="00724F47" w:rsidRDefault="003B60EF" w:rsidP="003B60EF">
            <w:pP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Did you actually engage (performing the research) in academic research that included either surveying or interviewing members of government or the public administration?</w:t>
            </w:r>
          </w:p>
        </w:tc>
        <w:tc>
          <w:tcPr>
            <w:tcW w:w="606" w:type="pct"/>
            <w:noWrap/>
            <w:vAlign w:val="center"/>
          </w:tcPr>
          <w:p w14:paraId="1F4058A9" w14:textId="77777777" w:rsidR="003B60EF" w:rsidRPr="003F03B2" w:rsidRDefault="003B60EF" w:rsidP="003B60EF">
            <w:pPr>
              <w:jc w:val="center"/>
              <w:rPr>
                <w:rFonts w:ascii="Microsoft Sans Serif" w:eastAsia="Times New Roman" w:hAnsi="Microsoft Sans Serif" w:cs="Microsoft Sans Serif"/>
                <w:sz w:val="20"/>
                <w:szCs w:val="20"/>
                <w:lang w:val="en-CA" w:eastAsia="en-CA"/>
              </w:rPr>
            </w:pPr>
            <w:r w:rsidRPr="003F03B2">
              <w:rPr>
                <w:rFonts w:ascii="Microsoft Sans Serif" w:eastAsia="Times New Roman" w:hAnsi="Microsoft Sans Serif" w:cs="Microsoft Sans Serif"/>
                <w:sz w:val="20"/>
                <w:szCs w:val="20"/>
                <w:lang w:val="en-CA" w:eastAsia="en-CA"/>
              </w:rPr>
              <w:t>46.9%</w:t>
            </w:r>
          </w:p>
        </w:tc>
        <w:tc>
          <w:tcPr>
            <w:tcW w:w="606" w:type="pct"/>
            <w:noWrap/>
            <w:vAlign w:val="center"/>
          </w:tcPr>
          <w:p w14:paraId="029620E4" w14:textId="77777777" w:rsidR="003B60EF" w:rsidRPr="003F03B2" w:rsidRDefault="003B60EF" w:rsidP="003B60EF">
            <w:pPr>
              <w:jc w:val="center"/>
              <w:rPr>
                <w:rFonts w:ascii="Microsoft Sans Serif" w:eastAsia="Times New Roman" w:hAnsi="Microsoft Sans Serif" w:cs="Microsoft Sans Serif"/>
                <w:sz w:val="20"/>
                <w:szCs w:val="20"/>
                <w:lang w:val="en-CA" w:eastAsia="en-CA"/>
              </w:rPr>
            </w:pPr>
            <w:r w:rsidRPr="003F03B2">
              <w:rPr>
                <w:rFonts w:ascii="Microsoft Sans Serif" w:eastAsia="Times New Roman" w:hAnsi="Microsoft Sans Serif" w:cs="Microsoft Sans Serif"/>
                <w:sz w:val="20"/>
                <w:szCs w:val="20"/>
                <w:lang w:val="en-CA" w:eastAsia="en-CA"/>
              </w:rPr>
              <w:t>27.7%</w:t>
            </w:r>
          </w:p>
        </w:tc>
        <w:tc>
          <w:tcPr>
            <w:tcW w:w="765" w:type="pct"/>
            <w:noWrap/>
            <w:vAlign w:val="center"/>
          </w:tcPr>
          <w:p w14:paraId="547887F8" w14:textId="77777777" w:rsidR="003B60EF" w:rsidRPr="003F03B2" w:rsidRDefault="003B60EF" w:rsidP="003B60EF">
            <w:pPr>
              <w:jc w:val="center"/>
              <w:rPr>
                <w:rFonts w:ascii="Microsoft Sans Serif" w:eastAsia="Times New Roman" w:hAnsi="Microsoft Sans Serif" w:cs="Microsoft Sans Serif"/>
                <w:sz w:val="20"/>
                <w:szCs w:val="20"/>
                <w:lang w:val="en-CA" w:eastAsia="en-CA"/>
              </w:rPr>
            </w:pPr>
            <w:r w:rsidRPr="003F03B2">
              <w:rPr>
                <w:rFonts w:ascii="Microsoft Sans Serif" w:eastAsia="Times New Roman" w:hAnsi="Microsoft Sans Serif" w:cs="Microsoft Sans Serif"/>
                <w:sz w:val="20"/>
                <w:szCs w:val="20"/>
                <w:lang w:val="en-CA" w:eastAsia="en-CA"/>
              </w:rPr>
              <w:t>14.0%</w:t>
            </w:r>
          </w:p>
        </w:tc>
        <w:tc>
          <w:tcPr>
            <w:tcW w:w="606" w:type="pct"/>
            <w:noWrap/>
            <w:vAlign w:val="center"/>
          </w:tcPr>
          <w:p w14:paraId="2F051754" w14:textId="77777777" w:rsidR="003B60EF" w:rsidRPr="003F03B2" w:rsidRDefault="003B60EF" w:rsidP="003B60EF">
            <w:pPr>
              <w:jc w:val="center"/>
              <w:rPr>
                <w:rFonts w:ascii="Microsoft Sans Serif" w:eastAsia="Times New Roman" w:hAnsi="Microsoft Sans Serif" w:cs="Microsoft Sans Serif"/>
                <w:sz w:val="20"/>
                <w:szCs w:val="20"/>
                <w:lang w:val="en-CA" w:eastAsia="en-CA"/>
              </w:rPr>
            </w:pPr>
            <w:r w:rsidRPr="003F03B2">
              <w:rPr>
                <w:rFonts w:ascii="Microsoft Sans Serif" w:eastAsia="Times New Roman" w:hAnsi="Microsoft Sans Serif" w:cs="Microsoft Sans Serif"/>
                <w:sz w:val="20"/>
                <w:szCs w:val="20"/>
                <w:lang w:val="en-CA" w:eastAsia="en-CA"/>
              </w:rPr>
              <w:t>7.0%</w:t>
            </w:r>
          </w:p>
        </w:tc>
        <w:tc>
          <w:tcPr>
            <w:tcW w:w="605" w:type="pct"/>
            <w:noWrap/>
            <w:vAlign w:val="center"/>
          </w:tcPr>
          <w:p w14:paraId="715CC103" w14:textId="77777777" w:rsidR="003B60EF" w:rsidRPr="003F03B2" w:rsidRDefault="003B60EF" w:rsidP="003B60EF">
            <w:pPr>
              <w:jc w:val="center"/>
              <w:rPr>
                <w:rFonts w:ascii="Microsoft Sans Serif" w:eastAsia="Times New Roman" w:hAnsi="Microsoft Sans Serif" w:cs="Microsoft Sans Serif"/>
                <w:sz w:val="20"/>
                <w:szCs w:val="20"/>
                <w:lang w:val="en-CA" w:eastAsia="en-CA"/>
              </w:rPr>
            </w:pPr>
            <w:r w:rsidRPr="003F03B2">
              <w:rPr>
                <w:rFonts w:ascii="Microsoft Sans Serif" w:eastAsia="Times New Roman" w:hAnsi="Microsoft Sans Serif" w:cs="Microsoft Sans Serif"/>
                <w:sz w:val="20"/>
                <w:szCs w:val="20"/>
                <w:lang w:val="en-CA" w:eastAsia="en-CA"/>
              </w:rPr>
              <w:t>4.4%</w:t>
            </w:r>
          </w:p>
        </w:tc>
      </w:tr>
      <w:tr w:rsidR="00724F47" w:rsidRPr="00724F47" w14:paraId="1A8A90B5" w14:textId="77777777">
        <w:trPr>
          <w:trHeight w:val="259"/>
        </w:trPr>
        <w:tc>
          <w:tcPr>
            <w:tcW w:w="1812" w:type="pct"/>
            <w:shd w:val="clear" w:color="auto" w:fill="D9D9D9" w:themeFill="background1" w:themeFillShade="D9"/>
            <w:vAlign w:val="center"/>
          </w:tcPr>
          <w:p w14:paraId="67C25169" w14:textId="77777777" w:rsidR="00724F47" w:rsidRPr="003F03B2" w:rsidRDefault="00724F47" w:rsidP="00724F47">
            <w:pPr>
              <w:rPr>
                <w:rFonts w:ascii="Microsoft Sans Serif" w:eastAsia="Times New Roman" w:hAnsi="Microsoft Sans Serif" w:cs="Microsoft Sans Serif"/>
                <w:i/>
                <w:sz w:val="18"/>
                <w:szCs w:val="18"/>
                <w:lang w:val="en-CA" w:eastAsia="en-CA"/>
              </w:rPr>
            </w:pPr>
            <w:r w:rsidRPr="003F03B2">
              <w:rPr>
                <w:rFonts w:ascii="Microsoft Sans Serif" w:eastAsia="Times New Roman" w:hAnsi="Microsoft Sans Serif" w:cs="Microsoft Sans Serif"/>
                <w:i/>
                <w:sz w:val="18"/>
                <w:szCs w:val="18"/>
                <w:lang w:val="en-CA" w:eastAsia="en-CA"/>
              </w:rPr>
              <w:t xml:space="preserve">Canadian Public </w:t>
            </w:r>
            <w:r w:rsidR="00902643">
              <w:rPr>
                <w:rFonts w:ascii="Microsoft Sans Serif" w:eastAsia="Times New Roman" w:hAnsi="Microsoft Sans Serif" w:cs="Microsoft Sans Serif"/>
                <w:i/>
                <w:sz w:val="18"/>
                <w:szCs w:val="18"/>
                <w:lang w:val="en-CA" w:eastAsia="en-CA"/>
              </w:rPr>
              <w:t xml:space="preserve">Service </w:t>
            </w:r>
            <w:r w:rsidRPr="003F03B2">
              <w:rPr>
                <w:rFonts w:ascii="Microsoft Sans Serif" w:eastAsia="Times New Roman" w:hAnsi="Microsoft Sans Serif" w:cs="Microsoft Sans Serif"/>
                <w:i/>
                <w:sz w:val="18"/>
                <w:szCs w:val="18"/>
                <w:lang w:val="en-CA" w:eastAsia="en-CA"/>
              </w:rPr>
              <w:t>Executives</w:t>
            </w:r>
          </w:p>
        </w:tc>
        <w:tc>
          <w:tcPr>
            <w:tcW w:w="606" w:type="pct"/>
            <w:shd w:val="clear" w:color="auto" w:fill="D9D9D9" w:themeFill="background1" w:themeFillShade="D9"/>
            <w:noWrap/>
            <w:vAlign w:val="center"/>
          </w:tcPr>
          <w:p w14:paraId="24BA1066" w14:textId="77777777" w:rsidR="00724F47" w:rsidRPr="00724F47" w:rsidRDefault="00724F47" w:rsidP="00724F47">
            <w:pPr>
              <w:jc w:val="center"/>
              <w:rPr>
                <w:rFonts w:ascii="Microsoft Sans Serif" w:eastAsia="Times New Roman" w:hAnsi="Microsoft Sans Serif" w:cs="Microsoft Sans Serif"/>
                <w:sz w:val="18"/>
                <w:szCs w:val="18"/>
                <w:lang w:val="en-CA" w:eastAsia="en-CA"/>
              </w:rPr>
            </w:pPr>
          </w:p>
        </w:tc>
        <w:tc>
          <w:tcPr>
            <w:tcW w:w="606" w:type="pct"/>
            <w:shd w:val="clear" w:color="auto" w:fill="D9D9D9" w:themeFill="background1" w:themeFillShade="D9"/>
            <w:noWrap/>
            <w:vAlign w:val="center"/>
          </w:tcPr>
          <w:p w14:paraId="1113D813" w14:textId="77777777" w:rsidR="00724F47" w:rsidRPr="00724F47" w:rsidRDefault="00724F47" w:rsidP="00724F47">
            <w:pPr>
              <w:jc w:val="center"/>
              <w:rPr>
                <w:rFonts w:ascii="Microsoft Sans Serif" w:eastAsia="Times New Roman" w:hAnsi="Microsoft Sans Serif" w:cs="Microsoft Sans Serif"/>
                <w:sz w:val="18"/>
                <w:szCs w:val="18"/>
                <w:lang w:val="en-CA" w:eastAsia="en-CA"/>
              </w:rPr>
            </w:pPr>
          </w:p>
        </w:tc>
        <w:tc>
          <w:tcPr>
            <w:tcW w:w="765" w:type="pct"/>
            <w:shd w:val="clear" w:color="auto" w:fill="D9D9D9" w:themeFill="background1" w:themeFillShade="D9"/>
            <w:noWrap/>
            <w:vAlign w:val="center"/>
          </w:tcPr>
          <w:p w14:paraId="4154FB2A" w14:textId="77777777" w:rsidR="00724F47" w:rsidRPr="00724F47" w:rsidRDefault="00724F47" w:rsidP="00724F47">
            <w:pPr>
              <w:jc w:val="center"/>
              <w:rPr>
                <w:rFonts w:ascii="Microsoft Sans Serif" w:eastAsia="Times New Roman" w:hAnsi="Microsoft Sans Serif" w:cs="Microsoft Sans Serif"/>
                <w:sz w:val="18"/>
                <w:szCs w:val="18"/>
                <w:lang w:val="en-CA" w:eastAsia="en-CA"/>
              </w:rPr>
            </w:pPr>
          </w:p>
        </w:tc>
        <w:tc>
          <w:tcPr>
            <w:tcW w:w="606" w:type="pct"/>
            <w:shd w:val="clear" w:color="auto" w:fill="D9D9D9" w:themeFill="background1" w:themeFillShade="D9"/>
            <w:noWrap/>
            <w:vAlign w:val="center"/>
          </w:tcPr>
          <w:p w14:paraId="74343ED0" w14:textId="77777777" w:rsidR="00724F47" w:rsidRPr="00724F47" w:rsidRDefault="00724F47" w:rsidP="00724F47">
            <w:pPr>
              <w:jc w:val="center"/>
              <w:rPr>
                <w:rFonts w:ascii="Microsoft Sans Serif" w:eastAsia="Times New Roman" w:hAnsi="Microsoft Sans Serif" w:cs="Microsoft Sans Serif"/>
                <w:sz w:val="18"/>
                <w:szCs w:val="18"/>
                <w:lang w:val="en-CA" w:eastAsia="en-CA"/>
              </w:rPr>
            </w:pPr>
          </w:p>
        </w:tc>
        <w:tc>
          <w:tcPr>
            <w:tcW w:w="605" w:type="pct"/>
            <w:shd w:val="clear" w:color="auto" w:fill="D9D9D9" w:themeFill="background1" w:themeFillShade="D9"/>
            <w:noWrap/>
            <w:vAlign w:val="center"/>
          </w:tcPr>
          <w:p w14:paraId="135AB97C" w14:textId="77777777" w:rsidR="00724F47" w:rsidRPr="00724F47" w:rsidRDefault="00724F47" w:rsidP="00724F47">
            <w:pPr>
              <w:jc w:val="center"/>
              <w:rPr>
                <w:rFonts w:ascii="Microsoft Sans Serif" w:eastAsia="Times New Roman" w:hAnsi="Microsoft Sans Serif" w:cs="Microsoft Sans Serif"/>
                <w:sz w:val="18"/>
                <w:szCs w:val="18"/>
                <w:lang w:val="en-CA" w:eastAsia="en-CA"/>
              </w:rPr>
            </w:pPr>
          </w:p>
        </w:tc>
      </w:tr>
      <w:tr w:rsidR="00535FB9" w:rsidRPr="00724F47" w14:paraId="0CB5BFB7" w14:textId="77777777">
        <w:trPr>
          <w:trHeight w:val="600"/>
        </w:trPr>
        <w:tc>
          <w:tcPr>
            <w:tcW w:w="1812" w:type="pct"/>
          </w:tcPr>
          <w:p w14:paraId="50DE2E3E" w14:textId="77777777" w:rsidR="00535FB9" w:rsidRPr="00724F47" w:rsidRDefault="00535FB9" w:rsidP="0070428A">
            <w:pPr>
              <w:rPr>
                <w:rFonts w:ascii="Microsoft Sans Serif" w:eastAsia="Times New Roman" w:hAnsi="Microsoft Sans Serif" w:cs="Microsoft Sans Serif"/>
                <w:sz w:val="18"/>
                <w:szCs w:val="18"/>
                <w:lang w:val="en-CA" w:eastAsia="en-CA"/>
              </w:rPr>
            </w:pPr>
            <w:r w:rsidRPr="00724F47">
              <w:rPr>
                <w:rFonts w:ascii="Microsoft Sans Serif" w:eastAsia="Times New Roman" w:hAnsi="Microsoft Sans Serif" w:cs="Microsoft Sans Serif"/>
                <w:sz w:val="18"/>
                <w:szCs w:val="18"/>
                <w:lang w:val="en-CA" w:eastAsia="en-CA"/>
              </w:rPr>
              <w:t>Participate or engage in academic research, excluding participation in this research survey?</w:t>
            </w:r>
          </w:p>
        </w:tc>
        <w:tc>
          <w:tcPr>
            <w:tcW w:w="606" w:type="pct"/>
            <w:noWrap/>
            <w:vAlign w:val="center"/>
          </w:tcPr>
          <w:p w14:paraId="76A0ED17" w14:textId="77777777" w:rsidR="00535FB9" w:rsidRDefault="00535FB9" w:rsidP="00535FB9">
            <w:pPr>
              <w:jc w:val="center"/>
              <w:rPr>
                <w:rFonts w:ascii="Microsoft Sans Serif" w:hAnsi="Microsoft Sans Serif" w:cs="Microsoft Sans Serif"/>
                <w:sz w:val="20"/>
                <w:szCs w:val="20"/>
              </w:rPr>
            </w:pPr>
            <w:r>
              <w:rPr>
                <w:rFonts w:ascii="Microsoft Sans Serif" w:hAnsi="Microsoft Sans Serif" w:cs="Microsoft Sans Serif"/>
                <w:sz w:val="20"/>
                <w:szCs w:val="20"/>
              </w:rPr>
              <w:t>10.7%</w:t>
            </w:r>
          </w:p>
        </w:tc>
        <w:tc>
          <w:tcPr>
            <w:tcW w:w="606" w:type="pct"/>
            <w:noWrap/>
            <w:vAlign w:val="center"/>
          </w:tcPr>
          <w:p w14:paraId="16B49321" w14:textId="77777777" w:rsidR="00535FB9" w:rsidRDefault="00535FB9" w:rsidP="00535FB9">
            <w:pPr>
              <w:jc w:val="center"/>
              <w:rPr>
                <w:rFonts w:ascii="Microsoft Sans Serif" w:hAnsi="Microsoft Sans Serif" w:cs="Microsoft Sans Serif"/>
                <w:sz w:val="20"/>
                <w:szCs w:val="20"/>
              </w:rPr>
            </w:pPr>
            <w:r>
              <w:rPr>
                <w:rFonts w:ascii="Microsoft Sans Serif" w:hAnsi="Microsoft Sans Serif" w:cs="Microsoft Sans Serif"/>
                <w:sz w:val="20"/>
                <w:szCs w:val="20"/>
              </w:rPr>
              <w:t>33.3%</w:t>
            </w:r>
          </w:p>
        </w:tc>
        <w:tc>
          <w:tcPr>
            <w:tcW w:w="765" w:type="pct"/>
            <w:noWrap/>
            <w:vAlign w:val="center"/>
          </w:tcPr>
          <w:p w14:paraId="287D1190" w14:textId="77777777" w:rsidR="00535FB9" w:rsidRDefault="00535FB9" w:rsidP="00535FB9">
            <w:pPr>
              <w:jc w:val="center"/>
              <w:rPr>
                <w:rFonts w:ascii="Microsoft Sans Serif" w:hAnsi="Microsoft Sans Serif" w:cs="Microsoft Sans Serif"/>
                <w:sz w:val="20"/>
                <w:szCs w:val="20"/>
              </w:rPr>
            </w:pPr>
            <w:r>
              <w:rPr>
                <w:rFonts w:ascii="Microsoft Sans Serif" w:hAnsi="Microsoft Sans Serif" w:cs="Microsoft Sans Serif"/>
                <w:sz w:val="20"/>
                <w:szCs w:val="20"/>
              </w:rPr>
              <w:t>37.5%</w:t>
            </w:r>
          </w:p>
        </w:tc>
        <w:tc>
          <w:tcPr>
            <w:tcW w:w="606" w:type="pct"/>
            <w:noWrap/>
            <w:vAlign w:val="center"/>
          </w:tcPr>
          <w:p w14:paraId="61177A1B" w14:textId="77777777" w:rsidR="00535FB9" w:rsidRDefault="00535FB9" w:rsidP="00535FB9">
            <w:pPr>
              <w:jc w:val="center"/>
              <w:rPr>
                <w:rFonts w:ascii="Microsoft Sans Serif" w:hAnsi="Microsoft Sans Serif" w:cs="Microsoft Sans Serif"/>
                <w:sz w:val="20"/>
                <w:szCs w:val="20"/>
              </w:rPr>
            </w:pPr>
            <w:r>
              <w:rPr>
                <w:rFonts w:ascii="Microsoft Sans Serif" w:hAnsi="Microsoft Sans Serif" w:cs="Microsoft Sans Serif"/>
                <w:sz w:val="20"/>
                <w:szCs w:val="20"/>
              </w:rPr>
              <w:t>13.1%</w:t>
            </w:r>
          </w:p>
        </w:tc>
        <w:tc>
          <w:tcPr>
            <w:tcW w:w="605" w:type="pct"/>
            <w:noWrap/>
            <w:vAlign w:val="center"/>
          </w:tcPr>
          <w:p w14:paraId="5CB451DF" w14:textId="77777777" w:rsidR="00535FB9" w:rsidRDefault="00535FB9" w:rsidP="00535FB9">
            <w:pPr>
              <w:jc w:val="center"/>
              <w:rPr>
                <w:rFonts w:ascii="Microsoft Sans Serif" w:hAnsi="Microsoft Sans Serif" w:cs="Microsoft Sans Serif"/>
                <w:sz w:val="20"/>
                <w:szCs w:val="20"/>
              </w:rPr>
            </w:pPr>
            <w:r>
              <w:rPr>
                <w:rFonts w:ascii="Microsoft Sans Serif" w:hAnsi="Microsoft Sans Serif" w:cs="Microsoft Sans Serif"/>
                <w:sz w:val="20"/>
                <w:szCs w:val="20"/>
              </w:rPr>
              <w:t>5.4%</w:t>
            </w:r>
          </w:p>
        </w:tc>
      </w:tr>
    </w:tbl>
    <w:p w14:paraId="338891F1" w14:textId="77777777" w:rsidR="003B60EF" w:rsidRDefault="003B60EF" w:rsidP="00327849">
      <w:pPr>
        <w:spacing w:line="360" w:lineRule="auto"/>
      </w:pPr>
    </w:p>
    <w:p w14:paraId="1953A8D0" w14:textId="77777777" w:rsidR="003B60EF" w:rsidRDefault="003F03B2" w:rsidP="00327849">
      <w:pPr>
        <w:spacing w:line="360" w:lineRule="auto"/>
      </w:pPr>
      <w:r>
        <w:t xml:space="preserve">When we look at </w:t>
      </w:r>
      <w:r w:rsidR="001F4617">
        <w:t>this data</w:t>
      </w:r>
      <w:r w:rsidR="00E632DB">
        <w:t xml:space="preserve">, considering that such research is often time-consuming to design and implement, we have strong rates of engagement from our academic sample, with at least 11% showing a constant engagement; over 18% </w:t>
      </w:r>
      <w:r w:rsidR="0077712B">
        <w:t xml:space="preserve">of executives do the same. All and all these appear to be strong </w:t>
      </w:r>
      <w:r w:rsidR="003D760D">
        <w:t>numbers.</w:t>
      </w:r>
    </w:p>
    <w:p w14:paraId="397FFA5F" w14:textId="77777777" w:rsidR="001F4617" w:rsidRDefault="001F4617" w:rsidP="00327849">
      <w:pPr>
        <w:spacing w:line="360" w:lineRule="auto"/>
      </w:pPr>
    </w:p>
    <w:p w14:paraId="7DB4DAEF" w14:textId="77777777" w:rsidR="001F4617" w:rsidRDefault="001F4617" w:rsidP="00327849">
      <w:pPr>
        <w:spacing w:line="360" w:lineRule="auto"/>
      </w:pPr>
    </w:p>
    <w:p w14:paraId="1E400D85" w14:textId="77777777" w:rsidR="001F4617" w:rsidRDefault="001F4617" w:rsidP="00327849">
      <w:pPr>
        <w:spacing w:line="360" w:lineRule="auto"/>
      </w:pPr>
    </w:p>
    <w:p w14:paraId="1A536330" w14:textId="77777777" w:rsidR="001F4617" w:rsidRDefault="001F4617" w:rsidP="00327849">
      <w:pPr>
        <w:spacing w:line="360" w:lineRule="auto"/>
      </w:pPr>
    </w:p>
    <w:p w14:paraId="0C10E0F0" w14:textId="77777777" w:rsidR="00BC1580" w:rsidRDefault="00BC1580" w:rsidP="00327849">
      <w:pPr>
        <w:spacing w:line="360" w:lineRule="auto"/>
      </w:pPr>
    </w:p>
    <w:p w14:paraId="7E920903" w14:textId="77777777" w:rsidR="001F4617" w:rsidRDefault="001F4617" w:rsidP="00327849">
      <w:pPr>
        <w:spacing w:line="360" w:lineRule="auto"/>
      </w:pPr>
    </w:p>
    <w:p w14:paraId="4370B046" w14:textId="77777777" w:rsidR="003B60EF" w:rsidRPr="001F4617" w:rsidRDefault="001F4617" w:rsidP="00327849">
      <w:pPr>
        <w:spacing w:line="360" w:lineRule="auto"/>
        <w:rPr>
          <w:i/>
        </w:rPr>
      </w:pPr>
      <w:r>
        <w:rPr>
          <w:i/>
        </w:rPr>
        <w:t>Research Approaches</w:t>
      </w:r>
    </w:p>
    <w:p w14:paraId="552754C1" w14:textId="77777777" w:rsidR="00F51CAF" w:rsidRDefault="00BC1580" w:rsidP="00987F7E">
      <w:pPr>
        <w:spacing w:line="360" w:lineRule="auto"/>
      </w:pPr>
      <w:r>
        <w:t xml:space="preserve">In our survey of </w:t>
      </w:r>
      <w:proofErr w:type="gramStart"/>
      <w:r>
        <w:t>academics</w:t>
      </w:r>
      <w:proofErr w:type="gramEnd"/>
      <w:r>
        <w:t xml:space="preserve"> we were able to ask questions about the perceived trajectory of the relationship between </w:t>
      </w:r>
      <w:r w:rsidR="00F51CAF">
        <w:t>the two communities in the recent past and about the way in which the research engagement was actually structured. In this section, first we explore the general responses of academics about the state and recent trajectory of their relationship with the public service. After this introduction, we look in sequence at how research is done, at whether academics bid on research contracts (an increasing common way of securing research for the public sector) and at the nature of the relationship between the two communities.</w:t>
      </w:r>
    </w:p>
    <w:p w14:paraId="60EB5C75" w14:textId="77777777" w:rsidR="00DB2BC3" w:rsidRDefault="00DB2BC3" w:rsidP="00987F7E">
      <w:pPr>
        <w:spacing w:line="360" w:lineRule="auto"/>
      </w:pPr>
    </w:p>
    <w:p w14:paraId="4046E75F" w14:textId="77777777" w:rsidR="00BC1580" w:rsidRDefault="00F51CAF" w:rsidP="00987F7E">
      <w:pPr>
        <w:spacing w:line="360" w:lineRule="auto"/>
      </w:pPr>
      <w:r>
        <w:t xml:space="preserve">With regard to the current state of the relationship between the two communities when engaging in research, academics are almost evenly split in three groups as we can see from Table 11 below. This seems to indicate that, while there is room for improvement, for a substantial group there is a strong sensation that the public service is well disposed towards research. </w:t>
      </w:r>
    </w:p>
    <w:p w14:paraId="7B26EC71" w14:textId="77777777" w:rsidR="00BC1580" w:rsidRDefault="00F51CAF" w:rsidP="00987F7E">
      <w:pPr>
        <w:spacing w:line="360" w:lineRule="auto"/>
      </w:pPr>
      <w:r>
        <w:t xml:space="preserve"> </w:t>
      </w:r>
    </w:p>
    <w:p w14:paraId="1F49AF74" w14:textId="77777777" w:rsidR="00BC1580" w:rsidRPr="00135364" w:rsidRDefault="00BC1580" w:rsidP="00BC1580">
      <w:pPr>
        <w:spacing w:line="360" w:lineRule="auto"/>
      </w:pPr>
      <w:r w:rsidRPr="00461CFA">
        <w:rPr>
          <w:i/>
        </w:rPr>
        <w:t xml:space="preserve">Table </w:t>
      </w:r>
      <w:r>
        <w:rPr>
          <w:i/>
        </w:rPr>
        <w:t>11. Level of Satisfaction Engaging the Public Service in Academic Research</w:t>
      </w:r>
    </w:p>
    <w:tbl>
      <w:tblPr>
        <w:tblStyle w:val="Tableausimple1"/>
        <w:tblW w:w="3455" w:type="pct"/>
        <w:tblLook w:val="04A0" w:firstRow="1" w:lastRow="0" w:firstColumn="1" w:lastColumn="0" w:noHBand="0" w:noVBand="1"/>
      </w:tblPr>
      <w:tblGrid>
        <w:gridCol w:w="3423"/>
        <w:gridCol w:w="1345"/>
        <w:gridCol w:w="1351"/>
      </w:tblGrid>
      <w:tr w:rsidR="00BC1580" w:rsidRPr="00135364" w14:paraId="667BB2B4" w14:textId="77777777">
        <w:trPr>
          <w:cnfStyle w:val="100000000000" w:firstRow="1" w:lastRow="0" w:firstColumn="0" w:lastColumn="0" w:oddVBand="0" w:evenVBand="0" w:oddHBand="0" w:evenHBand="0" w:firstRowFirstColumn="0" w:firstRowLastColumn="0" w:lastRowFirstColumn="0" w:lastRowLastColumn="0"/>
          <w:trHeight w:val="251"/>
        </w:trPr>
        <w:tc>
          <w:tcPr>
            <w:tcW w:w="2797" w:type="pct"/>
            <w:noWrap/>
          </w:tcPr>
          <w:p w14:paraId="68DCA71E" w14:textId="77777777" w:rsidR="00BC1580" w:rsidRPr="00135364" w:rsidRDefault="00BC1580" w:rsidP="00D14259">
            <w:pPr>
              <w:rPr>
                <w:rFonts w:ascii="Microsoft Sans Serif" w:eastAsia="Times New Roman" w:hAnsi="Microsoft Sans Serif" w:cs="Microsoft Sans Serif"/>
                <w:b/>
                <w:bCs/>
                <w:i/>
                <w:iCs/>
                <w:sz w:val="20"/>
                <w:szCs w:val="20"/>
                <w:lang w:val="en-CA" w:eastAsia="en-CA"/>
              </w:rPr>
            </w:pPr>
          </w:p>
        </w:tc>
        <w:tc>
          <w:tcPr>
            <w:tcW w:w="1099" w:type="pct"/>
            <w:vAlign w:val="center"/>
          </w:tcPr>
          <w:p w14:paraId="740409A7" w14:textId="77777777" w:rsidR="00BC1580" w:rsidRPr="00724F47" w:rsidRDefault="00BC1580" w:rsidP="00BC1580">
            <w:pPr>
              <w:jc w:val="center"/>
              <w:rPr>
                <w:rFonts w:ascii="Microsoft Sans Serif" w:eastAsia="Times New Roman" w:hAnsi="Microsoft Sans Serif" w:cs="Microsoft Sans Serif"/>
                <w:b/>
                <w:bCs/>
                <w:sz w:val="16"/>
                <w:szCs w:val="16"/>
                <w:lang w:val="en-CA" w:eastAsia="en-CA"/>
              </w:rPr>
            </w:pPr>
            <w:r>
              <w:rPr>
                <w:rFonts w:ascii="Microsoft Sans Serif" w:eastAsia="Times New Roman" w:hAnsi="Microsoft Sans Serif" w:cs="Microsoft Sans Serif"/>
                <w:b/>
                <w:bCs/>
                <w:sz w:val="16"/>
                <w:szCs w:val="16"/>
                <w:lang w:val="en-CA" w:eastAsia="en-CA"/>
              </w:rPr>
              <w:t>Response Percent</w:t>
            </w:r>
          </w:p>
        </w:tc>
        <w:tc>
          <w:tcPr>
            <w:tcW w:w="1104" w:type="pct"/>
            <w:vAlign w:val="center"/>
          </w:tcPr>
          <w:p w14:paraId="59F3511D" w14:textId="77777777" w:rsidR="00BC1580" w:rsidRPr="00724F47" w:rsidRDefault="00BC1580" w:rsidP="00DE1D25">
            <w:pPr>
              <w:jc w:val="center"/>
              <w:rPr>
                <w:rFonts w:ascii="Microsoft Sans Serif" w:eastAsia="Times New Roman" w:hAnsi="Microsoft Sans Serif" w:cs="Microsoft Sans Serif"/>
                <w:b/>
                <w:bCs/>
                <w:sz w:val="16"/>
                <w:szCs w:val="16"/>
                <w:lang w:val="en-CA" w:eastAsia="en-CA"/>
              </w:rPr>
            </w:pPr>
            <w:r>
              <w:rPr>
                <w:rFonts w:ascii="Microsoft Sans Serif" w:eastAsia="Times New Roman" w:hAnsi="Microsoft Sans Serif" w:cs="Microsoft Sans Serif"/>
                <w:b/>
                <w:bCs/>
                <w:sz w:val="16"/>
                <w:szCs w:val="16"/>
                <w:lang w:val="en-CA" w:eastAsia="en-CA"/>
              </w:rPr>
              <w:t>Response Count</w:t>
            </w:r>
          </w:p>
        </w:tc>
      </w:tr>
      <w:tr w:rsidR="00BC1580" w:rsidRPr="00135364" w14:paraId="527A196C" w14:textId="77777777">
        <w:trPr>
          <w:trHeight w:val="487"/>
        </w:trPr>
        <w:tc>
          <w:tcPr>
            <w:tcW w:w="2797" w:type="pct"/>
            <w:tcBorders>
              <w:top w:val="single" w:sz="6" w:space="0" w:color="008000"/>
              <w:bottom w:val="single" w:sz="4" w:space="0" w:color="auto"/>
            </w:tcBorders>
            <w:vAlign w:val="center"/>
          </w:tcPr>
          <w:p w14:paraId="3283962F" w14:textId="77777777" w:rsidR="00BC1580" w:rsidRPr="00724F47" w:rsidRDefault="00BC1580" w:rsidP="00D14259">
            <w:pP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Very Dissatisfied</w:t>
            </w:r>
          </w:p>
        </w:tc>
        <w:tc>
          <w:tcPr>
            <w:tcW w:w="1099" w:type="pct"/>
            <w:tcBorders>
              <w:top w:val="single" w:sz="6" w:space="0" w:color="008000"/>
              <w:bottom w:val="single" w:sz="4" w:space="0" w:color="auto"/>
            </w:tcBorders>
            <w:noWrap/>
            <w:vAlign w:val="center"/>
          </w:tcPr>
          <w:p w14:paraId="7D254709" w14:textId="77777777" w:rsidR="00BC1580" w:rsidRPr="00724F47" w:rsidRDefault="00BC1580" w:rsidP="00D14259">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9.0%</w:t>
            </w:r>
          </w:p>
        </w:tc>
        <w:tc>
          <w:tcPr>
            <w:tcW w:w="1104" w:type="pct"/>
            <w:tcBorders>
              <w:top w:val="single" w:sz="6" w:space="0" w:color="008000"/>
              <w:bottom w:val="single" w:sz="4" w:space="0" w:color="auto"/>
            </w:tcBorders>
            <w:noWrap/>
            <w:vAlign w:val="center"/>
          </w:tcPr>
          <w:p w14:paraId="1A232CCB" w14:textId="77777777" w:rsidR="00BC1580" w:rsidRPr="00724F47" w:rsidRDefault="00BC1580" w:rsidP="00D14259">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27</w:t>
            </w:r>
          </w:p>
        </w:tc>
      </w:tr>
      <w:tr w:rsidR="00BC1580" w:rsidRPr="00135364" w14:paraId="53844660" w14:textId="77777777">
        <w:trPr>
          <w:trHeight w:val="487"/>
        </w:trPr>
        <w:tc>
          <w:tcPr>
            <w:tcW w:w="2797" w:type="pct"/>
            <w:tcBorders>
              <w:top w:val="single" w:sz="6" w:space="0" w:color="008000"/>
              <w:bottom w:val="single" w:sz="4" w:space="0" w:color="auto"/>
            </w:tcBorders>
            <w:vAlign w:val="center"/>
          </w:tcPr>
          <w:p w14:paraId="312E2E7C" w14:textId="77777777" w:rsidR="00BC1580" w:rsidRPr="00724F47" w:rsidRDefault="00BC1580" w:rsidP="00D14259">
            <w:pP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Dissatisfied</w:t>
            </w:r>
          </w:p>
        </w:tc>
        <w:tc>
          <w:tcPr>
            <w:tcW w:w="1099" w:type="pct"/>
            <w:tcBorders>
              <w:top w:val="single" w:sz="6" w:space="0" w:color="008000"/>
              <w:bottom w:val="single" w:sz="4" w:space="0" w:color="auto"/>
            </w:tcBorders>
            <w:noWrap/>
            <w:vAlign w:val="center"/>
          </w:tcPr>
          <w:p w14:paraId="53BA1440" w14:textId="77777777" w:rsidR="00BC1580" w:rsidRPr="00724F47" w:rsidRDefault="00BC1580" w:rsidP="00D14259">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18.0%</w:t>
            </w:r>
          </w:p>
        </w:tc>
        <w:tc>
          <w:tcPr>
            <w:tcW w:w="1104" w:type="pct"/>
            <w:tcBorders>
              <w:top w:val="single" w:sz="6" w:space="0" w:color="008000"/>
              <w:bottom w:val="single" w:sz="4" w:space="0" w:color="auto"/>
            </w:tcBorders>
            <w:noWrap/>
            <w:vAlign w:val="center"/>
          </w:tcPr>
          <w:p w14:paraId="24A7C6D9" w14:textId="77777777" w:rsidR="00BC1580" w:rsidRPr="00724F47" w:rsidRDefault="00BC1580" w:rsidP="00D14259">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54</w:t>
            </w:r>
          </w:p>
        </w:tc>
      </w:tr>
      <w:tr w:rsidR="00BC1580" w:rsidRPr="00135364" w14:paraId="68E9701F" w14:textId="77777777">
        <w:trPr>
          <w:trHeight w:val="487"/>
        </w:trPr>
        <w:tc>
          <w:tcPr>
            <w:tcW w:w="2797" w:type="pct"/>
            <w:tcBorders>
              <w:top w:val="single" w:sz="6" w:space="0" w:color="008000"/>
              <w:bottom w:val="single" w:sz="4" w:space="0" w:color="auto"/>
            </w:tcBorders>
            <w:vAlign w:val="center"/>
          </w:tcPr>
          <w:p w14:paraId="148CBF06" w14:textId="77777777" w:rsidR="00BC1580" w:rsidRPr="00724F47" w:rsidRDefault="00BC1580" w:rsidP="00D14259">
            <w:pP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Neither Satisfied nor Dissatisfied</w:t>
            </w:r>
          </w:p>
        </w:tc>
        <w:tc>
          <w:tcPr>
            <w:tcW w:w="1099" w:type="pct"/>
            <w:tcBorders>
              <w:top w:val="single" w:sz="6" w:space="0" w:color="008000"/>
              <w:bottom w:val="single" w:sz="4" w:space="0" w:color="auto"/>
            </w:tcBorders>
            <w:noWrap/>
            <w:vAlign w:val="center"/>
          </w:tcPr>
          <w:p w14:paraId="7688FD1A" w14:textId="77777777" w:rsidR="00BC1580" w:rsidRPr="00724F47" w:rsidRDefault="00BC1580" w:rsidP="00D14259">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38.3%</w:t>
            </w:r>
          </w:p>
        </w:tc>
        <w:tc>
          <w:tcPr>
            <w:tcW w:w="1104" w:type="pct"/>
            <w:tcBorders>
              <w:top w:val="single" w:sz="6" w:space="0" w:color="008000"/>
              <w:bottom w:val="single" w:sz="4" w:space="0" w:color="auto"/>
            </w:tcBorders>
            <w:noWrap/>
            <w:vAlign w:val="center"/>
          </w:tcPr>
          <w:p w14:paraId="0062C9EE" w14:textId="77777777" w:rsidR="00BC1580" w:rsidRPr="00724F47" w:rsidRDefault="00BC1580" w:rsidP="00D14259">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115</w:t>
            </w:r>
          </w:p>
        </w:tc>
      </w:tr>
      <w:tr w:rsidR="00BC1580" w:rsidRPr="00135364" w14:paraId="47102096" w14:textId="77777777">
        <w:trPr>
          <w:trHeight w:val="575"/>
        </w:trPr>
        <w:tc>
          <w:tcPr>
            <w:tcW w:w="2797" w:type="pct"/>
            <w:tcBorders>
              <w:top w:val="single" w:sz="4" w:space="0" w:color="auto"/>
              <w:bottom w:val="single" w:sz="4" w:space="0" w:color="auto"/>
            </w:tcBorders>
            <w:vAlign w:val="center"/>
          </w:tcPr>
          <w:p w14:paraId="5E7F4C19" w14:textId="77777777" w:rsidR="00BC1580" w:rsidRPr="00724F47" w:rsidRDefault="00BC1580" w:rsidP="00D14259">
            <w:pP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Satisfied</w:t>
            </w:r>
          </w:p>
        </w:tc>
        <w:tc>
          <w:tcPr>
            <w:tcW w:w="1099" w:type="pct"/>
            <w:tcBorders>
              <w:top w:val="single" w:sz="4" w:space="0" w:color="auto"/>
              <w:bottom w:val="single" w:sz="4" w:space="0" w:color="auto"/>
            </w:tcBorders>
            <w:noWrap/>
            <w:vAlign w:val="center"/>
          </w:tcPr>
          <w:p w14:paraId="54974674" w14:textId="77777777" w:rsidR="00BC1580" w:rsidRPr="00724F47" w:rsidRDefault="00BC1580" w:rsidP="00D14259">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28.0%</w:t>
            </w:r>
          </w:p>
        </w:tc>
        <w:tc>
          <w:tcPr>
            <w:tcW w:w="1104" w:type="pct"/>
            <w:tcBorders>
              <w:top w:val="single" w:sz="4" w:space="0" w:color="auto"/>
              <w:bottom w:val="single" w:sz="4" w:space="0" w:color="auto"/>
            </w:tcBorders>
            <w:noWrap/>
            <w:vAlign w:val="center"/>
          </w:tcPr>
          <w:p w14:paraId="4A76B525" w14:textId="77777777" w:rsidR="00BC1580" w:rsidRPr="00724F47" w:rsidRDefault="00BC1580" w:rsidP="00D14259">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84</w:t>
            </w:r>
          </w:p>
        </w:tc>
      </w:tr>
      <w:tr w:rsidR="00BC1580" w:rsidRPr="00135364" w14:paraId="592A976F" w14:textId="77777777">
        <w:trPr>
          <w:trHeight w:val="510"/>
        </w:trPr>
        <w:tc>
          <w:tcPr>
            <w:tcW w:w="2797" w:type="pct"/>
            <w:tcBorders>
              <w:top w:val="single" w:sz="4" w:space="0" w:color="auto"/>
              <w:bottom w:val="single" w:sz="4" w:space="0" w:color="auto"/>
            </w:tcBorders>
            <w:vAlign w:val="center"/>
          </w:tcPr>
          <w:p w14:paraId="50BEF3A8" w14:textId="77777777" w:rsidR="00BC1580" w:rsidRPr="00724F47" w:rsidRDefault="00BC1580" w:rsidP="00D14259">
            <w:pP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Very Satisfied</w:t>
            </w:r>
          </w:p>
        </w:tc>
        <w:tc>
          <w:tcPr>
            <w:tcW w:w="1099" w:type="pct"/>
            <w:tcBorders>
              <w:top w:val="single" w:sz="4" w:space="0" w:color="auto"/>
              <w:bottom w:val="single" w:sz="4" w:space="0" w:color="auto"/>
            </w:tcBorders>
            <w:noWrap/>
            <w:vAlign w:val="center"/>
          </w:tcPr>
          <w:p w14:paraId="489653B7" w14:textId="77777777" w:rsidR="00BC1580" w:rsidRPr="00724F47" w:rsidRDefault="00BC1580" w:rsidP="00D14259">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6.7%</w:t>
            </w:r>
          </w:p>
        </w:tc>
        <w:tc>
          <w:tcPr>
            <w:tcW w:w="1104" w:type="pct"/>
            <w:tcBorders>
              <w:top w:val="single" w:sz="4" w:space="0" w:color="auto"/>
              <w:bottom w:val="single" w:sz="4" w:space="0" w:color="auto"/>
            </w:tcBorders>
            <w:noWrap/>
            <w:vAlign w:val="center"/>
          </w:tcPr>
          <w:p w14:paraId="4A166B99" w14:textId="77777777" w:rsidR="00BC1580" w:rsidRPr="00724F47" w:rsidRDefault="00BC1580" w:rsidP="00D14259">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20</w:t>
            </w:r>
          </w:p>
        </w:tc>
      </w:tr>
    </w:tbl>
    <w:p w14:paraId="520068C5" w14:textId="77777777" w:rsidR="00BC1580" w:rsidRPr="008F5F62" w:rsidRDefault="00BC1580" w:rsidP="00BC1580">
      <w:pPr>
        <w:spacing w:line="360" w:lineRule="auto"/>
      </w:pPr>
    </w:p>
    <w:p w14:paraId="74C03989" w14:textId="77777777" w:rsidR="00F51CAF" w:rsidRDefault="00F51CAF" w:rsidP="00327849">
      <w:pPr>
        <w:spacing w:line="360" w:lineRule="auto"/>
      </w:pPr>
      <w:r>
        <w:t xml:space="preserve">The respondents offered some nuances in their comments from which it emerged that federal public servants were more difficult to engage with those from other jurisdictions. </w:t>
      </w:r>
      <w:proofErr w:type="gramStart"/>
      <w:r>
        <w:t>Generally</w:t>
      </w:r>
      <w:proofErr w:type="gramEnd"/>
      <w:r>
        <w:t xml:space="preserve"> there was also a sense that academic research was not very interesting to public servants. </w:t>
      </w:r>
    </w:p>
    <w:p w14:paraId="0D6C3329" w14:textId="77777777" w:rsidR="003B60EF" w:rsidRDefault="00F51CAF" w:rsidP="00327849">
      <w:pPr>
        <w:spacing w:line="360" w:lineRule="auto"/>
      </w:pPr>
      <w:r>
        <w:lastRenderedPageBreak/>
        <w:t>Next we asked how academics perceived the change in quality of that engagement over the span of the previous five years. Only 14.6% of respondents felt that it had improved in any way, while 46.9% felt it had become worse.</w:t>
      </w:r>
    </w:p>
    <w:p w14:paraId="0AF35F13" w14:textId="77777777" w:rsidR="00DB2BC3" w:rsidRDefault="00DB2BC3" w:rsidP="00327849">
      <w:pPr>
        <w:spacing w:line="360" w:lineRule="auto"/>
      </w:pPr>
    </w:p>
    <w:p w14:paraId="359311B4" w14:textId="77777777" w:rsidR="00F51CAF" w:rsidRPr="00135364" w:rsidRDefault="00F51CAF" w:rsidP="00F51CAF">
      <w:pPr>
        <w:spacing w:line="360" w:lineRule="auto"/>
      </w:pPr>
      <w:r w:rsidRPr="00461CFA">
        <w:rPr>
          <w:i/>
        </w:rPr>
        <w:t xml:space="preserve">Table </w:t>
      </w:r>
      <w:r>
        <w:rPr>
          <w:i/>
        </w:rPr>
        <w:t>12. In the Past 5 Years the Level of Engagement with the Public Service became</w:t>
      </w:r>
    </w:p>
    <w:tbl>
      <w:tblPr>
        <w:tblStyle w:val="Tableausimple1"/>
        <w:tblW w:w="3455" w:type="pct"/>
        <w:tblLook w:val="04A0" w:firstRow="1" w:lastRow="0" w:firstColumn="1" w:lastColumn="0" w:noHBand="0" w:noVBand="1"/>
      </w:tblPr>
      <w:tblGrid>
        <w:gridCol w:w="3423"/>
        <w:gridCol w:w="1345"/>
        <w:gridCol w:w="1351"/>
      </w:tblGrid>
      <w:tr w:rsidR="00F51CAF" w:rsidRPr="00135364" w14:paraId="0AADF855" w14:textId="77777777">
        <w:trPr>
          <w:cnfStyle w:val="100000000000" w:firstRow="1" w:lastRow="0" w:firstColumn="0" w:lastColumn="0" w:oddVBand="0" w:evenVBand="0" w:oddHBand="0" w:evenHBand="0" w:firstRowFirstColumn="0" w:firstRowLastColumn="0" w:lastRowFirstColumn="0" w:lastRowLastColumn="0"/>
          <w:trHeight w:val="251"/>
        </w:trPr>
        <w:tc>
          <w:tcPr>
            <w:tcW w:w="2797" w:type="pct"/>
            <w:noWrap/>
          </w:tcPr>
          <w:p w14:paraId="661AE9E6" w14:textId="77777777" w:rsidR="00F51CAF" w:rsidRPr="00135364" w:rsidRDefault="00F51CAF" w:rsidP="00D14259">
            <w:pPr>
              <w:rPr>
                <w:rFonts w:ascii="Microsoft Sans Serif" w:eastAsia="Times New Roman" w:hAnsi="Microsoft Sans Serif" w:cs="Microsoft Sans Serif"/>
                <w:b/>
                <w:bCs/>
                <w:i/>
                <w:iCs/>
                <w:sz w:val="20"/>
                <w:szCs w:val="20"/>
                <w:lang w:val="en-CA" w:eastAsia="en-CA"/>
              </w:rPr>
            </w:pPr>
          </w:p>
        </w:tc>
        <w:tc>
          <w:tcPr>
            <w:tcW w:w="1099" w:type="pct"/>
            <w:vAlign w:val="center"/>
          </w:tcPr>
          <w:p w14:paraId="318C0FA5" w14:textId="77777777" w:rsidR="00F51CAF" w:rsidRPr="00724F47" w:rsidRDefault="00F51CAF" w:rsidP="00BC1580">
            <w:pPr>
              <w:jc w:val="center"/>
              <w:rPr>
                <w:rFonts w:ascii="Microsoft Sans Serif" w:eastAsia="Times New Roman" w:hAnsi="Microsoft Sans Serif" w:cs="Microsoft Sans Serif"/>
                <w:b/>
                <w:bCs/>
                <w:sz w:val="16"/>
                <w:szCs w:val="16"/>
                <w:lang w:val="en-CA" w:eastAsia="en-CA"/>
              </w:rPr>
            </w:pPr>
            <w:r>
              <w:rPr>
                <w:rFonts w:ascii="Microsoft Sans Serif" w:eastAsia="Times New Roman" w:hAnsi="Microsoft Sans Serif" w:cs="Microsoft Sans Serif"/>
                <w:b/>
                <w:bCs/>
                <w:sz w:val="16"/>
                <w:szCs w:val="16"/>
                <w:lang w:val="en-CA" w:eastAsia="en-CA"/>
              </w:rPr>
              <w:t>Response Percent</w:t>
            </w:r>
          </w:p>
        </w:tc>
        <w:tc>
          <w:tcPr>
            <w:tcW w:w="1104" w:type="pct"/>
            <w:vAlign w:val="center"/>
          </w:tcPr>
          <w:p w14:paraId="654106C7" w14:textId="77777777" w:rsidR="00F51CAF" w:rsidRPr="00724F47" w:rsidRDefault="00F51CAF" w:rsidP="00DE1D25">
            <w:pPr>
              <w:jc w:val="center"/>
              <w:rPr>
                <w:rFonts w:ascii="Microsoft Sans Serif" w:eastAsia="Times New Roman" w:hAnsi="Microsoft Sans Serif" w:cs="Microsoft Sans Serif"/>
                <w:b/>
                <w:bCs/>
                <w:sz w:val="16"/>
                <w:szCs w:val="16"/>
                <w:lang w:val="en-CA" w:eastAsia="en-CA"/>
              </w:rPr>
            </w:pPr>
            <w:r>
              <w:rPr>
                <w:rFonts w:ascii="Microsoft Sans Serif" w:eastAsia="Times New Roman" w:hAnsi="Microsoft Sans Serif" w:cs="Microsoft Sans Serif"/>
                <w:b/>
                <w:bCs/>
                <w:sz w:val="16"/>
                <w:szCs w:val="16"/>
                <w:lang w:val="en-CA" w:eastAsia="en-CA"/>
              </w:rPr>
              <w:t>Response Count</w:t>
            </w:r>
          </w:p>
        </w:tc>
      </w:tr>
      <w:tr w:rsidR="00F51CAF" w:rsidRPr="00135364" w14:paraId="3F7A1C29" w14:textId="77777777">
        <w:trPr>
          <w:trHeight w:val="487"/>
        </w:trPr>
        <w:tc>
          <w:tcPr>
            <w:tcW w:w="2797" w:type="pct"/>
            <w:tcBorders>
              <w:top w:val="single" w:sz="6" w:space="0" w:color="008000"/>
              <w:bottom w:val="single" w:sz="4" w:space="0" w:color="auto"/>
            </w:tcBorders>
            <w:vAlign w:val="center"/>
          </w:tcPr>
          <w:p w14:paraId="4F1C87E8" w14:textId="77777777" w:rsidR="00F51CAF" w:rsidRPr="00724F47" w:rsidRDefault="00F51CAF" w:rsidP="00D14259">
            <w:pP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Much Worse</w:t>
            </w:r>
          </w:p>
        </w:tc>
        <w:tc>
          <w:tcPr>
            <w:tcW w:w="1099" w:type="pct"/>
            <w:tcBorders>
              <w:top w:val="single" w:sz="6" w:space="0" w:color="008000"/>
              <w:bottom w:val="single" w:sz="4" w:space="0" w:color="auto"/>
            </w:tcBorders>
            <w:noWrap/>
            <w:vAlign w:val="center"/>
          </w:tcPr>
          <w:p w14:paraId="14969D82" w14:textId="77777777" w:rsidR="00F51CAF" w:rsidRPr="00724F47" w:rsidRDefault="00F51CAF" w:rsidP="00D14259">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19.0%</w:t>
            </w:r>
          </w:p>
        </w:tc>
        <w:tc>
          <w:tcPr>
            <w:tcW w:w="1104" w:type="pct"/>
            <w:tcBorders>
              <w:top w:val="single" w:sz="6" w:space="0" w:color="008000"/>
              <w:bottom w:val="single" w:sz="4" w:space="0" w:color="auto"/>
            </w:tcBorders>
            <w:noWrap/>
            <w:vAlign w:val="center"/>
          </w:tcPr>
          <w:p w14:paraId="71254FFA" w14:textId="77777777" w:rsidR="00F51CAF" w:rsidRPr="00724F47" w:rsidRDefault="00F51CAF" w:rsidP="00D14259">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56</w:t>
            </w:r>
          </w:p>
        </w:tc>
      </w:tr>
      <w:tr w:rsidR="00F51CAF" w:rsidRPr="00135364" w14:paraId="2A1604BD" w14:textId="77777777">
        <w:trPr>
          <w:trHeight w:val="487"/>
        </w:trPr>
        <w:tc>
          <w:tcPr>
            <w:tcW w:w="2797" w:type="pct"/>
            <w:tcBorders>
              <w:top w:val="single" w:sz="6" w:space="0" w:color="008000"/>
              <w:bottom w:val="single" w:sz="4" w:space="0" w:color="auto"/>
            </w:tcBorders>
            <w:vAlign w:val="center"/>
          </w:tcPr>
          <w:p w14:paraId="4A9731ED" w14:textId="77777777" w:rsidR="00F51CAF" w:rsidRPr="00724F47" w:rsidRDefault="00F51CAF" w:rsidP="00D14259">
            <w:pP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Worse</w:t>
            </w:r>
          </w:p>
        </w:tc>
        <w:tc>
          <w:tcPr>
            <w:tcW w:w="1099" w:type="pct"/>
            <w:tcBorders>
              <w:top w:val="single" w:sz="6" w:space="0" w:color="008000"/>
              <w:bottom w:val="single" w:sz="4" w:space="0" w:color="auto"/>
            </w:tcBorders>
            <w:noWrap/>
            <w:vAlign w:val="center"/>
          </w:tcPr>
          <w:p w14:paraId="2563338E" w14:textId="77777777" w:rsidR="00F51CAF" w:rsidRPr="00724F47" w:rsidRDefault="00F51CAF" w:rsidP="00D14259">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27.9%</w:t>
            </w:r>
          </w:p>
        </w:tc>
        <w:tc>
          <w:tcPr>
            <w:tcW w:w="1104" w:type="pct"/>
            <w:tcBorders>
              <w:top w:val="single" w:sz="6" w:space="0" w:color="008000"/>
              <w:bottom w:val="single" w:sz="4" w:space="0" w:color="auto"/>
            </w:tcBorders>
            <w:noWrap/>
            <w:vAlign w:val="center"/>
          </w:tcPr>
          <w:p w14:paraId="69BD9BFC" w14:textId="77777777" w:rsidR="00F51CAF" w:rsidRPr="00724F47" w:rsidRDefault="00F51CAF" w:rsidP="00D14259">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82</w:t>
            </w:r>
          </w:p>
        </w:tc>
      </w:tr>
      <w:tr w:rsidR="00F51CAF" w:rsidRPr="00135364" w14:paraId="3E678B72" w14:textId="77777777">
        <w:trPr>
          <w:trHeight w:val="487"/>
        </w:trPr>
        <w:tc>
          <w:tcPr>
            <w:tcW w:w="2797" w:type="pct"/>
            <w:tcBorders>
              <w:top w:val="single" w:sz="6" w:space="0" w:color="008000"/>
              <w:bottom w:val="single" w:sz="4" w:space="0" w:color="auto"/>
            </w:tcBorders>
            <w:vAlign w:val="center"/>
          </w:tcPr>
          <w:p w14:paraId="29C0999C" w14:textId="77777777" w:rsidR="00F51CAF" w:rsidRPr="00724F47" w:rsidRDefault="00F51CAF" w:rsidP="00D14259">
            <w:pP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Remained the same</w:t>
            </w:r>
          </w:p>
        </w:tc>
        <w:tc>
          <w:tcPr>
            <w:tcW w:w="1099" w:type="pct"/>
            <w:tcBorders>
              <w:top w:val="single" w:sz="6" w:space="0" w:color="008000"/>
              <w:bottom w:val="single" w:sz="4" w:space="0" w:color="auto"/>
            </w:tcBorders>
            <w:noWrap/>
            <w:vAlign w:val="center"/>
          </w:tcPr>
          <w:p w14:paraId="5CD1AC12" w14:textId="77777777" w:rsidR="00F51CAF" w:rsidRPr="00724F47" w:rsidRDefault="00F51CAF" w:rsidP="00D14259">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38.4%</w:t>
            </w:r>
          </w:p>
        </w:tc>
        <w:tc>
          <w:tcPr>
            <w:tcW w:w="1104" w:type="pct"/>
            <w:tcBorders>
              <w:top w:val="single" w:sz="6" w:space="0" w:color="008000"/>
              <w:bottom w:val="single" w:sz="4" w:space="0" w:color="auto"/>
            </w:tcBorders>
            <w:noWrap/>
            <w:vAlign w:val="center"/>
          </w:tcPr>
          <w:p w14:paraId="72C3036E" w14:textId="77777777" w:rsidR="00F51CAF" w:rsidRPr="00724F47" w:rsidRDefault="00F51CAF" w:rsidP="00D14259">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113</w:t>
            </w:r>
          </w:p>
        </w:tc>
      </w:tr>
      <w:tr w:rsidR="00F51CAF" w:rsidRPr="00135364" w14:paraId="7EA2B2FA" w14:textId="77777777">
        <w:trPr>
          <w:trHeight w:val="575"/>
        </w:trPr>
        <w:tc>
          <w:tcPr>
            <w:tcW w:w="2797" w:type="pct"/>
            <w:tcBorders>
              <w:top w:val="single" w:sz="4" w:space="0" w:color="auto"/>
              <w:bottom w:val="single" w:sz="4" w:space="0" w:color="auto"/>
            </w:tcBorders>
            <w:vAlign w:val="center"/>
          </w:tcPr>
          <w:p w14:paraId="255D7141" w14:textId="77777777" w:rsidR="00F51CAF" w:rsidRPr="00724F47" w:rsidRDefault="00F51CAF" w:rsidP="00D14259">
            <w:pP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Better</w:t>
            </w:r>
          </w:p>
        </w:tc>
        <w:tc>
          <w:tcPr>
            <w:tcW w:w="1099" w:type="pct"/>
            <w:tcBorders>
              <w:top w:val="single" w:sz="4" w:space="0" w:color="auto"/>
              <w:bottom w:val="single" w:sz="4" w:space="0" w:color="auto"/>
            </w:tcBorders>
            <w:noWrap/>
            <w:vAlign w:val="center"/>
          </w:tcPr>
          <w:p w14:paraId="0CCE801E" w14:textId="77777777" w:rsidR="00F51CAF" w:rsidRPr="00724F47" w:rsidRDefault="00F51CAF" w:rsidP="00D14259">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11.9%</w:t>
            </w:r>
          </w:p>
        </w:tc>
        <w:tc>
          <w:tcPr>
            <w:tcW w:w="1104" w:type="pct"/>
            <w:tcBorders>
              <w:top w:val="single" w:sz="4" w:space="0" w:color="auto"/>
              <w:bottom w:val="single" w:sz="4" w:space="0" w:color="auto"/>
            </w:tcBorders>
            <w:noWrap/>
            <w:vAlign w:val="center"/>
          </w:tcPr>
          <w:p w14:paraId="6915A689" w14:textId="77777777" w:rsidR="00F51CAF" w:rsidRPr="00724F47" w:rsidRDefault="00F51CAF" w:rsidP="00D14259">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35</w:t>
            </w:r>
          </w:p>
        </w:tc>
      </w:tr>
      <w:tr w:rsidR="00F51CAF" w:rsidRPr="00135364" w14:paraId="71D9B68D" w14:textId="77777777">
        <w:trPr>
          <w:trHeight w:val="510"/>
        </w:trPr>
        <w:tc>
          <w:tcPr>
            <w:tcW w:w="2797" w:type="pct"/>
            <w:tcBorders>
              <w:top w:val="single" w:sz="4" w:space="0" w:color="auto"/>
              <w:bottom w:val="single" w:sz="4" w:space="0" w:color="auto"/>
            </w:tcBorders>
            <w:vAlign w:val="center"/>
          </w:tcPr>
          <w:p w14:paraId="42B91F86" w14:textId="77777777" w:rsidR="00F51CAF" w:rsidRPr="00724F47" w:rsidRDefault="00F51CAF" w:rsidP="00D14259">
            <w:pP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Much Better</w:t>
            </w:r>
          </w:p>
        </w:tc>
        <w:tc>
          <w:tcPr>
            <w:tcW w:w="1099" w:type="pct"/>
            <w:tcBorders>
              <w:top w:val="single" w:sz="4" w:space="0" w:color="auto"/>
              <w:bottom w:val="single" w:sz="4" w:space="0" w:color="auto"/>
            </w:tcBorders>
            <w:noWrap/>
            <w:vAlign w:val="center"/>
          </w:tcPr>
          <w:p w14:paraId="52FB3783" w14:textId="77777777" w:rsidR="00F51CAF" w:rsidRPr="00724F47" w:rsidRDefault="00F51CAF" w:rsidP="00D14259">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2.7%</w:t>
            </w:r>
          </w:p>
        </w:tc>
        <w:tc>
          <w:tcPr>
            <w:tcW w:w="1104" w:type="pct"/>
            <w:tcBorders>
              <w:top w:val="single" w:sz="4" w:space="0" w:color="auto"/>
              <w:bottom w:val="single" w:sz="4" w:space="0" w:color="auto"/>
            </w:tcBorders>
            <w:noWrap/>
            <w:vAlign w:val="center"/>
          </w:tcPr>
          <w:p w14:paraId="0A8D82A5" w14:textId="77777777" w:rsidR="00F51CAF" w:rsidRPr="00724F47" w:rsidRDefault="00F51CAF" w:rsidP="00D14259">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8</w:t>
            </w:r>
          </w:p>
        </w:tc>
      </w:tr>
    </w:tbl>
    <w:p w14:paraId="483D2B6B" w14:textId="77777777" w:rsidR="00A00BD8" w:rsidRDefault="00A00BD8" w:rsidP="00F51CAF">
      <w:pPr>
        <w:spacing w:line="360" w:lineRule="auto"/>
      </w:pPr>
    </w:p>
    <w:p w14:paraId="6DB78CCC" w14:textId="77777777" w:rsidR="00D10666" w:rsidRDefault="00A00BD8" w:rsidP="00F51CAF">
      <w:pPr>
        <w:spacing w:line="360" w:lineRule="auto"/>
      </w:pPr>
      <w:r>
        <w:t>This question received 84 comments from the respondents, allowing us to delve in more detail into the percepti</w:t>
      </w:r>
      <w:r w:rsidR="003B2545">
        <w:t>ons of academics in this area. W</w:t>
      </w:r>
      <w:r>
        <w:t>e s</w:t>
      </w:r>
      <w:r w:rsidR="003B2545">
        <w:t xml:space="preserve">hould note that while there are some challenges that are emerging notwithstanding the continued engagement. From a very general point of view, these answers tell us that academics see the public service as having become more inward-looking, having lost the capacity and/or the desire to participate in research undertaken by academics.  In a word, there is more reticence towards academia, the reasons for which are variously attributed. Many academics felt that public servants operated in an environment that placed increased restrictions </w:t>
      </w:r>
      <w:r w:rsidR="00D349C7">
        <w:t>on their capacity to participate in research.</w:t>
      </w:r>
      <w:r w:rsidR="00D10666">
        <w:t xml:space="preserve"> </w:t>
      </w:r>
    </w:p>
    <w:p w14:paraId="35A161A6" w14:textId="77777777" w:rsidR="00DB2BC3" w:rsidRDefault="00DB2BC3" w:rsidP="00F51CAF">
      <w:pPr>
        <w:spacing w:line="360" w:lineRule="auto"/>
      </w:pPr>
    </w:p>
    <w:p w14:paraId="0B2BFABE" w14:textId="77777777" w:rsidR="00D10666" w:rsidRDefault="00D10666" w:rsidP="00F51CAF">
      <w:pPr>
        <w:spacing w:line="360" w:lineRule="auto"/>
      </w:pPr>
      <w:r>
        <w:t xml:space="preserve">These impediments ranged from budget pressure to increased media scrutiny, to strong political controls over communication. However, alongside this ‘loss of capacity’ explanation, we also find a ‘cultural’ one. The latter ascribes the reduced quality and scope of interactions among these communities to an increased anti-academic turn in both public servants and politicians. The notion that academic evidence and methods are unwelcome is often noted about the federal level. Here </w:t>
      </w:r>
      <w:r>
        <w:lastRenderedPageBreak/>
        <w:t>the impression is that there may be first a political dimension to this approach: i.e., that elected federal officials and their political staffers may be the source of these new rules of engagement with academics. The second, and a minority view, is that this approach may actually have become embedded in at least some administrators.</w:t>
      </w:r>
    </w:p>
    <w:p w14:paraId="313F11E8" w14:textId="77777777" w:rsidR="007B5852" w:rsidRDefault="00D10666" w:rsidP="00F51CAF">
      <w:pPr>
        <w:spacing w:line="360" w:lineRule="auto"/>
      </w:pPr>
      <w:r>
        <w:t xml:space="preserve">We also noticed a perception that at the federal level avenues for collaboration that existed a few years back have disappeared. While these statements would need increased testing and research, it is interesting to note them because they seem to speak against two important </w:t>
      </w:r>
      <w:r w:rsidR="007B5852">
        <w:t xml:space="preserve">trends that have emerged in the research field in recent years. The first is the increasing relevance of geographically and organizationally distributed networks and pipelines of research. The second is the focus on triple-helix models of research and innovation. This would be an interesting trend if we could find further evidence for it, since for many years the notion of knowledge </w:t>
      </w:r>
      <w:proofErr w:type="gramStart"/>
      <w:r w:rsidR="007B5852">
        <w:t>transfer</w:t>
      </w:r>
      <w:proofErr w:type="gramEnd"/>
      <w:r w:rsidR="007B5852">
        <w:t xml:space="preserve"> towards government (as opposed to the process of knowledge creation internal to the public service) has been very important to many public administrations. Our study appears to indicate that, especially at the federal level, academic research is not seen as the preferred source for knowledge transfer. </w:t>
      </w:r>
    </w:p>
    <w:p w14:paraId="5B9EC4AD" w14:textId="77777777" w:rsidR="007B5852" w:rsidRDefault="007B5852" w:rsidP="00F51CAF">
      <w:pPr>
        <w:spacing w:line="360" w:lineRule="auto"/>
      </w:pPr>
    </w:p>
    <w:p w14:paraId="74EC010D" w14:textId="77777777" w:rsidR="00F51CAF" w:rsidRPr="007B5852" w:rsidRDefault="007B5852" w:rsidP="00F51CAF">
      <w:pPr>
        <w:spacing w:line="360" w:lineRule="auto"/>
      </w:pPr>
      <w:r>
        <w:t>Now we begin to examine how the existing engagement takes place. Our next step was to analyze the methods more often used by our respondents to engage in research about and with the public service. Table 13 below patterns both the attempted and the successful tools used in this field. As we can see, interviews and informal discussions are the most used tools. This seems to confirm the findings from the IPAC Public Executive Survey especially with regard to informal connections. Survey instruments are not used particularly often. We should also note that there are relatively high success ratios with regard to all instruments used so we could assume that researchers have a good understanding of what approaches or research tools best work in their specific research environment.</w:t>
      </w:r>
    </w:p>
    <w:p w14:paraId="1CF1589E" w14:textId="77777777" w:rsidR="003B2545" w:rsidRDefault="003B2545" w:rsidP="00327849">
      <w:pPr>
        <w:spacing w:line="360" w:lineRule="auto"/>
      </w:pPr>
    </w:p>
    <w:p w14:paraId="71E179D7" w14:textId="77777777" w:rsidR="003B2545" w:rsidRDefault="003B2545" w:rsidP="00327849">
      <w:pPr>
        <w:spacing w:line="360" w:lineRule="auto"/>
      </w:pPr>
    </w:p>
    <w:p w14:paraId="720C2224" w14:textId="77777777" w:rsidR="003B2545" w:rsidRDefault="003B2545" w:rsidP="00327849">
      <w:pPr>
        <w:spacing w:line="360" w:lineRule="auto"/>
      </w:pPr>
    </w:p>
    <w:p w14:paraId="5686B4CA" w14:textId="77777777" w:rsidR="003B2545" w:rsidRDefault="003B2545" w:rsidP="00327849">
      <w:pPr>
        <w:spacing w:line="360" w:lineRule="auto"/>
      </w:pPr>
    </w:p>
    <w:p w14:paraId="08D29103" w14:textId="77777777" w:rsidR="007B5852" w:rsidRDefault="007B5852" w:rsidP="00327849">
      <w:pPr>
        <w:spacing w:line="360" w:lineRule="auto"/>
      </w:pPr>
    </w:p>
    <w:p w14:paraId="1111DB96" w14:textId="77777777" w:rsidR="003B2545" w:rsidRDefault="003B2545" w:rsidP="00327849">
      <w:pPr>
        <w:spacing w:line="360" w:lineRule="auto"/>
      </w:pPr>
    </w:p>
    <w:p w14:paraId="7521C582" w14:textId="77777777" w:rsidR="003B60EF" w:rsidRDefault="003B2545" w:rsidP="00327849">
      <w:pPr>
        <w:spacing w:line="360" w:lineRule="auto"/>
      </w:pPr>
      <w:r w:rsidRPr="00461CFA">
        <w:rPr>
          <w:i/>
        </w:rPr>
        <w:t xml:space="preserve">Table </w:t>
      </w:r>
      <w:r>
        <w:rPr>
          <w:i/>
        </w:rPr>
        <w:t>13. Instruments used by Academics in their Research Engagement</w:t>
      </w:r>
    </w:p>
    <w:tbl>
      <w:tblPr>
        <w:tblStyle w:val="Tableausimple1"/>
        <w:tblW w:w="4980" w:type="pct"/>
        <w:tblLook w:val="04A0" w:firstRow="1" w:lastRow="0" w:firstColumn="1" w:lastColumn="0" w:noHBand="0" w:noVBand="1"/>
      </w:tblPr>
      <w:tblGrid>
        <w:gridCol w:w="3425"/>
        <w:gridCol w:w="1344"/>
        <w:gridCol w:w="1351"/>
        <w:gridCol w:w="1351"/>
        <w:gridCol w:w="1350"/>
      </w:tblGrid>
      <w:tr w:rsidR="003B2545" w:rsidRPr="00135364" w14:paraId="2287453C" w14:textId="77777777">
        <w:trPr>
          <w:cnfStyle w:val="100000000000" w:firstRow="1" w:lastRow="0" w:firstColumn="0" w:lastColumn="0" w:oddVBand="0" w:evenVBand="0" w:oddHBand="0" w:evenHBand="0" w:firstRowFirstColumn="0" w:firstRowLastColumn="0" w:lastRowFirstColumn="0" w:lastRowLastColumn="0"/>
          <w:trHeight w:val="251"/>
        </w:trPr>
        <w:tc>
          <w:tcPr>
            <w:tcW w:w="1941" w:type="pct"/>
            <w:noWrap/>
          </w:tcPr>
          <w:p w14:paraId="2BA2F906" w14:textId="77777777" w:rsidR="003B2545" w:rsidRPr="00135364" w:rsidRDefault="003B2545" w:rsidP="00D14259">
            <w:pPr>
              <w:rPr>
                <w:rFonts w:ascii="Microsoft Sans Serif" w:eastAsia="Times New Roman" w:hAnsi="Microsoft Sans Serif" w:cs="Microsoft Sans Serif"/>
                <w:b/>
                <w:bCs/>
                <w:i/>
                <w:iCs/>
                <w:sz w:val="20"/>
                <w:szCs w:val="20"/>
                <w:lang w:val="en-CA" w:eastAsia="en-CA"/>
              </w:rPr>
            </w:pPr>
          </w:p>
        </w:tc>
        <w:tc>
          <w:tcPr>
            <w:tcW w:w="1528" w:type="pct"/>
            <w:gridSpan w:val="2"/>
            <w:vAlign w:val="center"/>
          </w:tcPr>
          <w:p w14:paraId="26382B21" w14:textId="77777777" w:rsidR="003B2545" w:rsidRDefault="003B2545" w:rsidP="00DE1D25">
            <w:pPr>
              <w:jc w:val="center"/>
              <w:rPr>
                <w:rFonts w:ascii="Microsoft Sans Serif" w:eastAsia="Times New Roman" w:hAnsi="Microsoft Sans Serif" w:cs="Microsoft Sans Serif"/>
                <w:b/>
                <w:bCs/>
                <w:sz w:val="16"/>
                <w:szCs w:val="16"/>
                <w:lang w:val="en-CA" w:eastAsia="en-CA"/>
              </w:rPr>
            </w:pPr>
            <w:r>
              <w:rPr>
                <w:rFonts w:ascii="Microsoft Sans Serif" w:eastAsia="Times New Roman" w:hAnsi="Microsoft Sans Serif" w:cs="Microsoft Sans Serif"/>
                <w:b/>
                <w:bCs/>
                <w:sz w:val="16"/>
                <w:szCs w:val="16"/>
                <w:lang w:val="en-CA" w:eastAsia="en-CA"/>
              </w:rPr>
              <w:t>Attempting Research</w:t>
            </w:r>
          </w:p>
        </w:tc>
        <w:tc>
          <w:tcPr>
            <w:tcW w:w="1531" w:type="pct"/>
            <w:gridSpan w:val="2"/>
          </w:tcPr>
          <w:p w14:paraId="53DB638F" w14:textId="77777777" w:rsidR="003B2545" w:rsidRDefault="003B2545" w:rsidP="00DE1D25">
            <w:pPr>
              <w:jc w:val="center"/>
              <w:rPr>
                <w:rFonts w:ascii="Microsoft Sans Serif" w:eastAsia="Times New Roman" w:hAnsi="Microsoft Sans Serif" w:cs="Microsoft Sans Serif"/>
                <w:b/>
                <w:bCs/>
                <w:sz w:val="16"/>
                <w:szCs w:val="16"/>
                <w:lang w:val="en-CA" w:eastAsia="en-CA"/>
              </w:rPr>
            </w:pPr>
            <w:r>
              <w:rPr>
                <w:rFonts w:ascii="Microsoft Sans Serif" w:eastAsia="Times New Roman" w:hAnsi="Microsoft Sans Serif" w:cs="Microsoft Sans Serif"/>
                <w:b/>
                <w:bCs/>
                <w:sz w:val="16"/>
                <w:szCs w:val="16"/>
                <w:lang w:val="en-CA" w:eastAsia="en-CA"/>
              </w:rPr>
              <w:t>Successful Research</w:t>
            </w:r>
          </w:p>
        </w:tc>
      </w:tr>
      <w:tr w:rsidR="003B2545" w:rsidRPr="00135364" w14:paraId="5DF6E50A" w14:textId="77777777">
        <w:trPr>
          <w:trHeight w:val="251"/>
        </w:trPr>
        <w:tc>
          <w:tcPr>
            <w:tcW w:w="1941" w:type="pct"/>
            <w:noWrap/>
          </w:tcPr>
          <w:p w14:paraId="3A77D1EF" w14:textId="77777777" w:rsidR="003B2545" w:rsidRPr="00135364" w:rsidRDefault="003B2545" w:rsidP="00D14259">
            <w:pPr>
              <w:rPr>
                <w:rFonts w:ascii="Microsoft Sans Serif" w:eastAsia="Times New Roman" w:hAnsi="Microsoft Sans Serif" w:cs="Microsoft Sans Serif"/>
                <w:b/>
                <w:bCs/>
                <w:i/>
                <w:iCs/>
                <w:sz w:val="20"/>
                <w:szCs w:val="20"/>
                <w:lang w:val="en-CA" w:eastAsia="en-CA"/>
              </w:rPr>
            </w:pPr>
          </w:p>
        </w:tc>
        <w:tc>
          <w:tcPr>
            <w:tcW w:w="762" w:type="pct"/>
            <w:vAlign w:val="center"/>
          </w:tcPr>
          <w:p w14:paraId="21BD8E13" w14:textId="77777777" w:rsidR="003B2545" w:rsidRPr="00724F47" w:rsidRDefault="003B2545" w:rsidP="00BC1580">
            <w:pPr>
              <w:jc w:val="center"/>
              <w:rPr>
                <w:rFonts w:ascii="Microsoft Sans Serif" w:eastAsia="Times New Roman" w:hAnsi="Microsoft Sans Serif" w:cs="Microsoft Sans Serif"/>
                <w:b/>
                <w:bCs/>
                <w:sz w:val="16"/>
                <w:szCs w:val="16"/>
                <w:lang w:val="en-CA" w:eastAsia="en-CA"/>
              </w:rPr>
            </w:pPr>
            <w:r>
              <w:rPr>
                <w:rFonts w:ascii="Microsoft Sans Serif" w:eastAsia="Times New Roman" w:hAnsi="Microsoft Sans Serif" w:cs="Microsoft Sans Serif"/>
                <w:b/>
                <w:bCs/>
                <w:sz w:val="16"/>
                <w:szCs w:val="16"/>
                <w:lang w:val="en-CA" w:eastAsia="en-CA"/>
              </w:rPr>
              <w:t>Response Percent</w:t>
            </w:r>
          </w:p>
        </w:tc>
        <w:tc>
          <w:tcPr>
            <w:tcW w:w="766" w:type="pct"/>
            <w:vAlign w:val="center"/>
          </w:tcPr>
          <w:p w14:paraId="000036FD" w14:textId="77777777" w:rsidR="003B2545" w:rsidRPr="00724F47" w:rsidRDefault="003B2545" w:rsidP="00DE1D25">
            <w:pPr>
              <w:jc w:val="center"/>
              <w:rPr>
                <w:rFonts w:ascii="Microsoft Sans Serif" w:eastAsia="Times New Roman" w:hAnsi="Microsoft Sans Serif" w:cs="Microsoft Sans Serif"/>
                <w:b/>
                <w:bCs/>
                <w:sz w:val="16"/>
                <w:szCs w:val="16"/>
                <w:lang w:val="en-CA" w:eastAsia="en-CA"/>
              </w:rPr>
            </w:pPr>
            <w:r>
              <w:rPr>
                <w:rFonts w:ascii="Microsoft Sans Serif" w:eastAsia="Times New Roman" w:hAnsi="Microsoft Sans Serif" w:cs="Microsoft Sans Serif"/>
                <w:b/>
                <w:bCs/>
                <w:sz w:val="16"/>
                <w:szCs w:val="16"/>
                <w:lang w:val="en-CA" w:eastAsia="en-CA"/>
              </w:rPr>
              <w:t>Response Count</w:t>
            </w:r>
          </w:p>
        </w:tc>
        <w:tc>
          <w:tcPr>
            <w:tcW w:w="766" w:type="pct"/>
            <w:vAlign w:val="center"/>
          </w:tcPr>
          <w:p w14:paraId="234A3159" w14:textId="77777777" w:rsidR="003B2545" w:rsidRPr="00724F47" w:rsidRDefault="003B2545" w:rsidP="00BC1580">
            <w:pPr>
              <w:jc w:val="center"/>
              <w:rPr>
                <w:rFonts w:ascii="Microsoft Sans Serif" w:eastAsia="Times New Roman" w:hAnsi="Microsoft Sans Serif" w:cs="Microsoft Sans Serif"/>
                <w:b/>
                <w:bCs/>
                <w:sz w:val="16"/>
                <w:szCs w:val="16"/>
                <w:lang w:val="en-CA" w:eastAsia="en-CA"/>
              </w:rPr>
            </w:pPr>
            <w:r>
              <w:rPr>
                <w:rFonts w:ascii="Microsoft Sans Serif" w:eastAsia="Times New Roman" w:hAnsi="Microsoft Sans Serif" w:cs="Microsoft Sans Serif"/>
                <w:b/>
                <w:bCs/>
                <w:sz w:val="16"/>
                <w:szCs w:val="16"/>
                <w:lang w:val="en-CA" w:eastAsia="en-CA"/>
              </w:rPr>
              <w:t>Response Percent</w:t>
            </w:r>
          </w:p>
        </w:tc>
        <w:tc>
          <w:tcPr>
            <w:tcW w:w="765" w:type="pct"/>
            <w:vAlign w:val="center"/>
          </w:tcPr>
          <w:p w14:paraId="7053E7F7" w14:textId="77777777" w:rsidR="003B2545" w:rsidRPr="00724F47" w:rsidRDefault="003B2545" w:rsidP="00DE1D25">
            <w:pPr>
              <w:jc w:val="center"/>
              <w:rPr>
                <w:rFonts w:ascii="Microsoft Sans Serif" w:eastAsia="Times New Roman" w:hAnsi="Microsoft Sans Serif" w:cs="Microsoft Sans Serif"/>
                <w:b/>
                <w:bCs/>
                <w:sz w:val="16"/>
                <w:szCs w:val="16"/>
                <w:lang w:val="en-CA" w:eastAsia="en-CA"/>
              </w:rPr>
            </w:pPr>
            <w:r>
              <w:rPr>
                <w:rFonts w:ascii="Microsoft Sans Serif" w:eastAsia="Times New Roman" w:hAnsi="Microsoft Sans Serif" w:cs="Microsoft Sans Serif"/>
                <w:b/>
                <w:bCs/>
                <w:sz w:val="16"/>
                <w:szCs w:val="16"/>
                <w:lang w:val="en-CA" w:eastAsia="en-CA"/>
              </w:rPr>
              <w:t>Response Count</w:t>
            </w:r>
          </w:p>
        </w:tc>
      </w:tr>
      <w:tr w:rsidR="003B2545" w:rsidRPr="00135364" w14:paraId="513A05DD" w14:textId="77777777">
        <w:trPr>
          <w:trHeight w:val="487"/>
        </w:trPr>
        <w:tc>
          <w:tcPr>
            <w:tcW w:w="1941" w:type="pct"/>
            <w:tcBorders>
              <w:top w:val="single" w:sz="6" w:space="0" w:color="008000"/>
              <w:bottom w:val="single" w:sz="4" w:space="0" w:color="auto"/>
            </w:tcBorders>
            <w:vAlign w:val="center"/>
          </w:tcPr>
          <w:p w14:paraId="63BDA9A4" w14:textId="77777777" w:rsidR="003B2545" w:rsidRDefault="003B2545" w:rsidP="00D14259">
            <w:pP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Survey Instrument</w:t>
            </w:r>
          </w:p>
        </w:tc>
        <w:tc>
          <w:tcPr>
            <w:tcW w:w="762" w:type="pct"/>
            <w:tcBorders>
              <w:top w:val="single" w:sz="6" w:space="0" w:color="008000"/>
              <w:bottom w:val="single" w:sz="4" w:space="0" w:color="auto"/>
            </w:tcBorders>
            <w:noWrap/>
            <w:vAlign w:val="center"/>
          </w:tcPr>
          <w:p w14:paraId="7E21DFD3" w14:textId="77777777" w:rsidR="003B2545" w:rsidRDefault="003B2545" w:rsidP="003B2545">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19.8%</w:t>
            </w:r>
          </w:p>
        </w:tc>
        <w:tc>
          <w:tcPr>
            <w:tcW w:w="766" w:type="pct"/>
            <w:tcBorders>
              <w:top w:val="single" w:sz="6" w:space="0" w:color="008000"/>
              <w:bottom w:val="single" w:sz="4" w:space="0" w:color="auto"/>
            </w:tcBorders>
            <w:noWrap/>
            <w:vAlign w:val="center"/>
          </w:tcPr>
          <w:p w14:paraId="7494AD64" w14:textId="77777777" w:rsidR="003B2545" w:rsidRDefault="003B2545" w:rsidP="003B2545">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50</w:t>
            </w:r>
          </w:p>
        </w:tc>
        <w:tc>
          <w:tcPr>
            <w:tcW w:w="766" w:type="pct"/>
            <w:tcBorders>
              <w:top w:val="single" w:sz="6" w:space="0" w:color="008000"/>
              <w:bottom w:val="single" w:sz="4" w:space="0" w:color="auto"/>
            </w:tcBorders>
            <w:vAlign w:val="center"/>
          </w:tcPr>
          <w:p w14:paraId="06CCCC65" w14:textId="77777777" w:rsidR="003B2545" w:rsidRDefault="003B2545" w:rsidP="003B2545">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17.2%</w:t>
            </w:r>
          </w:p>
        </w:tc>
        <w:tc>
          <w:tcPr>
            <w:tcW w:w="765" w:type="pct"/>
            <w:tcBorders>
              <w:top w:val="single" w:sz="6" w:space="0" w:color="008000"/>
              <w:bottom w:val="single" w:sz="4" w:space="0" w:color="auto"/>
            </w:tcBorders>
            <w:vAlign w:val="center"/>
          </w:tcPr>
          <w:p w14:paraId="79C9E3ED" w14:textId="77777777" w:rsidR="003B2545" w:rsidRDefault="003B2545" w:rsidP="003B2545">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42</w:t>
            </w:r>
          </w:p>
        </w:tc>
      </w:tr>
      <w:tr w:rsidR="003B2545" w:rsidRPr="00135364" w14:paraId="6C19F88B" w14:textId="77777777">
        <w:trPr>
          <w:trHeight w:val="487"/>
        </w:trPr>
        <w:tc>
          <w:tcPr>
            <w:tcW w:w="1941" w:type="pct"/>
            <w:tcBorders>
              <w:top w:val="single" w:sz="6" w:space="0" w:color="008000"/>
              <w:bottom w:val="single" w:sz="4" w:space="0" w:color="auto"/>
            </w:tcBorders>
            <w:vAlign w:val="center"/>
          </w:tcPr>
          <w:p w14:paraId="39FFD869" w14:textId="77777777" w:rsidR="003B2545" w:rsidRDefault="003B2545" w:rsidP="00D14259">
            <w:pP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Interview</w:t>
            </w:r>
          </w:p>
        </w:tc>
        <w:tc>
          <w:tcPr>
            <w:tcW w:w="762" w:type="pct"/>
            <w:tcBorders>
              <w:top w:val="single" w:sz="6" w:space="0" w:color="008000"/>
              <w:bottom w:val="single" w:sz="4" w:space="0" w:color="auto"/>
            </w:tcBorders>
            <w:noWrap/>
            <w:vAlign w:val="center"/>
          </w:tcPr>
          <w:p w14:paraId="271E07EB" w14:textId="77777777" w:rsidR="003B2545" w:rsidRDefault="003B2545" w:rsidP="003B2545">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72.6%</w:t>
            </w:r>
          </w:p>
        </w:tc>
        <w:tc>
          <w:tcPr>
            <w:tcW w:w="766" w:type="pct"/>
            <w:tcBorders>
              <w:top w:val="single" w:sz="6" w:space="0" w:color="008000"/>
              <w:bottom w:val="single" w:sz="4" w:space="0" w:color="auto"/>
            </w:tcBorders>
            <w:noWrap/>
            <w:vAlign w:val="center"/>
          </w:tcPr>
          <w:p w14:paraId="462278B2" w14:textId="77777777" w:rsidR="003B2545" w:rsidRDefault="003B2545" w:rsidP="003B2545">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183</w:t>
            </w:r>
          </w:p>
        </w:tc>
        <w:tc>
          <w:tcPr>
            <w:tcW w:w="766" w:type="pct"/>
            <w:tcBorders>
              <w:top w:val="single" w:sz="6" w:space="0" w:color="008000"/>
              <w:bottom w:val="single" w:sz="4" w:space="0" w:color="auto"/>
            </w:tcBorders>
            <w:vAlign w:val="center"/>
          </w:tcPr>
          <w:p w14:paraId="337D1297" w14:textId="77777777" w:rsidR="003B2545" w:rsidRDefault="003B2545" w:rsidP="003B2545">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71.7%</w:t>
            </w:r>
          </w:p>
        </w:tc>
        <w:tc>
          <w:tcPr>
            <w:tcW w:w="765" w:type="pct"/>
            <w:tcBorders>
              <w:top w:val="single" w:sz="6" w:space="0" w:color="008000"/>
              <w:bottom w:val="single" w:sz="4" w:space="0" w:color="auto"/>
            </w:tcBorders>
            <w:vAlign w:val="center"/>
          </w:tcPr>
          <w:p w14:paraId="603F0119" w14:textId="77777777" w:rsidR="003B2545" w:rsidRDefault="003B2545" w:rsidP="003B2545">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175</w:t>
            </w:r>
          </w:p>
        </w:tc>
      </w:tr>
      <w:tr w:rsidR="003B2545" w:rsidRPr="00135364" w14:paraId="0041C904" w14:textId="77777777">
        <w:trPr>
          <w:trHeight w:val="487"/>
        </w:trPr>
        <w:tc>
          <w:tcPr>
            <w:tcW w:w="1941" w:type="pct"/>
            <w:tcBorders>
              <w:top w:val="single" w:sz="6" w:space="0" w:color="008000"/>
              <w:bottom w:val="single" w:sz="4" w:space="0" w:color="auto"/>
            </w:tcBorders>
            <w:vAlign w:val="center"/>
          </w:tcPr>
          <w:p w14:paraId="3B60CBE1" w14:textId="77777777" w:rsidR="003B2545" w:rsidRDefault="003B2545" w:rsidP="00D14259">
            <w:pP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Focus Group</w:t>
            </w:r>
          </w:p>
        </w:tc>
        <w:tc>
          <w:tcPr>
            <w:tcW w:w="762" w:type="pct"/>
            <w:tcBorders>
              <w:top w:val="single" w:sz="6" w:space="0" w:color="008000"/>
              <w:bottom w:val="single" w:sz="4" w:space="0" w:color="auto"/>
            </w:tcBorders>
            <w:noWrap/>
            <w:vAlign w:val="center"/>
          </w:tcPr>
          <w:p w14:paraId="0B7A596C" w14:textId="77777777" w:rsidR="003B2545" w:rsidRDefault="003B2545" w:rsidP="003B2545">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11.1%</w:t>
            </w:r>
          </w:p>
        </w:tc>
        <w:tc>
          <w:tcPr>
            <w:tcW w:w="766" w:type="pct"/>
            <w:tcBorders>
              <w:top w:val="single" w:sz="6" w:space="0" w:color="008000"/>
              <w:bottom w:val="single" w:sz="4" w:space="0" w:color="auto"/>
            </w:tcBorders>
            <w:noWrap/>
            <w:vAlign w:val="center"/>
          </w:tcPr>
          <w:p w14:paraId="6FC5402D" w14:textId="77777777" w:rsidR="003B2545" w:rsidRDefault="003B2545" w:rsidP="003B2545">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28</w:t>
            </w:r>
          </w:p>
        </w:tc>
        <w:tc>
          <w:tcPr>
            <w:tcW w:w="766" w:type="pct"/>
            <w:tcBorders>
              <w:top w:val="single" w:sz="6" w:space="0" w:color="008000"/>
              <w:bottom w:val="single" w:sz="4" w:space="0" w:color="auto"/>
            </w:tcBorders>
            <w:vAlign w:val="center"/>
          </w:tcPr>
          <w:p w14:paraId="7D3BE42C" w14:textId="77777777" w:rsidR="003B2545" w:rsidRDefault="003B2545" w:rsidP="003B2545">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10.2%</w:t>
            </w:r>
          </w:p>
        </w:tc>
        <w:tc>
          <w:tcPr>
            <w:tcW w:w="765" w:type="pct"/>
            <w:tcBorders>
              <w:top w:val="single" w:sz="6" w:space="0" w:color="008000"/>
              <w:bottom w:val="single" w:sz="4" w:space="0" w:color="auto"/>
            </w:tcBorders>
            <w:vAlign w:val="center"/>
          </w:tcPr>
          <w:p w14:paraId="7DAD667D" w14:textId="77777777" w:rsidR="003B2545" w:rsidRDefault="003B2545" w:rsidP="003B2545">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25</w:t>
            </w:r>
          </w:p>
        </w:tc>
      </w:tr>
      <w:tr w:rsidR="003B2545" w:rsidRPr="00135364" w14:paraId="699CB12D" w14:textId="77777777">
        <w:trPr>
          <w:trHeight w:val="575"/>
        </w:trPr>
        <w:tc>
          <w:tcPr>
            <w:tcW w:w="1941" w:type="pct"/>
            <w:tcBorders>
              <w:top w:val="single" w:sz="4" w:space="0" w:color="auto"/>
              <w:bottom w:val="single" w:sz="4" w:space="0" w:color="auto"/>
            </w:tcBorders>
            <w:vAlign w:val="center"/>
          </w:tcPr>
          <w:p w14:paraId="76C95ED0" w14:textId="77777777" w:rsidR="003B2545" w:rsidRDefault="003B2545" w:rsidP="00D14259">
            <w:pP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Case Study</w:t>
            </w:r>
          </w:p>
        </w:tc>
        <w:tc>
          <w:tcPr>
            <w:tcW w:w="762" w:type="pct"/>
            <w:tcBorders>
              <w:top w:val="single" w:sz="4" w:space="0" w:color="auto"/>
              <w:bottom w:val="single" w:sz="4" w:space="0" w:color="auto"/>
            </w:tcBorders>
            <w:noWrap/>
            <w:vAlign w:val="center"/>
          </w:tcPr>
          <w:p w14:paraId="264752E4" w14:textId="77777777" w:rsidR="003B2545" w:rsidRDefault="003B2545" w:rsidP="003B2545">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29.8%</w:t>
            </w:r>
          </w:p>
        </w:tc>
        <w:tc>
          <w:tcPr>
            <w:tcW w:w="766" w:type="pct"/>
            <w:tcBorders>
              <w:top w:val="single" w:sz="4" w:space="0" w:color="auto"/>
              <w:bottom w:val="single" w:sz="4" w:space="0" w:color="auto"/>
            </w:tcBorders>
            <w:noWrap/>
            <w:vAlign w:val="center"/>
          </w:tcPr>
          <w:p w14:paraId="1943CA53" w14:textId="77777777" w:rsidR="003B2545" w:rsidRDefault="003B2545" w:rsidP="003B2545">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75</w:t>
            </w:r>
          </w:p>
        </w:tc>
        <w:tc>
          <w:tcPr>
            <w:tcW w:w="766" w:type="pct"/>
            <w:tcBorders>
              <w:top w:val="single" w:sz="4" w:space="0" w:color="auto"/>
              <w:bottom w:val="single" w:sz="4" w:space="0" w:color="auto"/>
            </w:tcBorders>
            <w:vAlign w:val="center"/>
          </w:tcPr>
          <w:p w14:paraId="58B58F4B" w14:textId="77777777" w:rsidR="003B2545" w:rsidRDefault="003B2545" w:rsidP="003B2545">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27.5%</w:t>
            </w:r>
          </w:p>
        </w:tc>
        <w:tc>
          <w:tcPr>
            <w:tcW w:w="765" w:type="pct"/>
            <w:tcBorders>
              <w:top w:val="single" w:sz="4" w:space="0" w:color="auto"/>
              <w:bottom w:val="single" w:sz="4" w:space="0" w:color="auto"/>
            </w:tcBorders>
            <w:vAlign w:val="center"/>
          </w:tcPr>
          <w:p w14:paraId="4847127A" w14:textId="77777777" w:rsidR="003B2545" w:rsidRDefault="003B2545" w:rsidP="003B2545">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67</w:t>
            </w:r>
          </w:p>
        </w:tc>
      </w:tr>
      <w:tr w:rsidR="003B2545" w:rsidRPr="00135364" w14:paraId="1BC23258" w14:textId="77777777">
        <w:trPr>
          <w:trHeight w:val="510"/>
        </w:trPr>
        <w:tc>
          <w:tcPr>
            <w:tcW w:w="1941" w:type="pct"/>
            <w:tcBorders>
              <w:top w:val="single" w:sz="4" w:space="0" w:color="auto"/>
              <w:bottom w:val="single" w:sz="4" w:space="0" w:color="auto"/>
            </w:tcBorders>
            <w:vAlign w:val="center"/>
          </w:tcPr>
          <w:p w14:paraId="3B4609E7" w14:textId="77777777" w:rsidR="003B2545" w:rsidRDefault="003B2545" w:rsidP="00D14259">
            <w:pP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Informal Discussion</w:t>
            </w:r>
          </w:p>
        </w:tc>
        <w:tc>
          <w:tcPr>
            <w:tcW w:w="762" w:type="pct"/>
            <w:tcBorders>
              <w:top w:val="single" w:sz="4" w:space="0" w:color="auto"/>
              <w:bottom w:val="single" w:sz="4" w:space="0" w:color="auto"/>
            </w:tcBorders>
            <w:noWrap/>
            <w:vAlign w:val="center"/>
          </w:tcPr>
          <w:p w14:paraId="08F6B4BE" w14:textId="77777777" w:rsidR="003B2545" w:rsidRDefault="003B2545" w:rsidP="003B2545">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63.5%</w:t>
            </w:r>
          </w:p>
        </w:tc>
        <w:tc>
          <w:tcPr>
            <w:tcW w:w="766" w:type="pct"/>
            <w:tcBorders>
              <w:top w:val="single" w:sz="4" w:space="0" w:color="auto"/>
              <w:bottom w:val="single" w:sz="4" w:space="0" w:color="auto"/>
            </w:tcBorders>
            <w:noWrap/>
            <w:vAlign w:val="center"/>
          </w:tcPr>
          <w:p w14:paraId="7B809DFC" w14:textId="77777777" w:rsidR="003B2545" w:rsidRDefault="003B2545" w:rsidP="003B2545">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160</w:t>
            </w:r>
          </w:p>
        </w:tc>
        <w:tc>
          <w:tcPr>
            <w:tcW w:w="766" w:type="pct"/>
            <w:tcBorders>
              <w:top w:val="single" w:sz="4" w:space="0" w:color="auto"/>
              <w:bottom w:val="single" w:sz="4" w:space="0" w:color="auto"/>
            </w:tcBorders>
            <w:vAlign w:val="center"/>
          </w:tcPr>
          <w:p w14:paraId="1039B8E5" w14:textId="77777777" w:rsidR="003B2545" w:rsidRDefault="003B2545" w:rsidP="003B2545">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61.9%</w:t>
            </w:r>
          </w:p>
        </w:tc>
        <w:tc>
          <w:tcPr>
            <w:tcW w:w="765" w:type="pct"/>
            <w:tcBorders>
              <w:top w:val="single" w:sz="4" w:space="0" w:color="auto"/>
              <w:bottom w:val="single" w:sz="4" w:space="0" w:color="auto"/>
            </w:tcBorders>
            <w:vAlign w:val="center"/>
          </w:tcPr>
          <w:p w14:paraId="1176F5D9" w14:textId="77777777" w:rsidR="003B2545" w:rsidRDefault="003B2545" w:rsidP="003B2545">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151</w:t>
            </w:r>
          </w:p>
        </w:tc>
      </w:tr>
      <w:tr w:rsidR="003B2545" w:rsidRPr="00135364" w14:paraId="33DC0299" w14:textId="77777777">
        <w:trPr>
          <w:trHeight w:val="510"/>
        </w:trPr>
        <w:tc>
          <w:tcPr>
            <w:tcW w:w="1941" w:type="pct"/>
            <w:tcBorders>
              <w:top w:val="single" w:sz="4" w:space="0" w:color="auto"/>
              <w:bottom w:val="single" w:sz="4" w:space="0" w:color="auto"/>
            </w:tcBorders>
            <w:vAlign w:val="center"/>
          </w:tcPr>
          <w:p w14:paraId="04120967" w14:textId="77777777" w:rsidR="003B2545" w:rsidRDefault="003B2545" w:rsidP="00D14259">
            <w:pP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Other Qualitative Instruments</w:t>
            </w:r>
          </w:p>
        </w:tc>
        <w:tc>
          <w:tcPr>
            <w:tcW w:w="762" w:type="pct"/>
            <w:tcBorders>
              <w:top w:val="single" w:sz="4" w:space="0" w:color="auto"/>
              <w:bottom w:val="single" w:sz="4" w:space="0" w:color="auto"/>
            </w:tcBorders>
            <w:noWrap/>
            <w:vAlign w:val="center"/>
          </w:tcPr>
          <w:p w14:paraId="42FF6712" w14:textId="77777777" w:rsidR="003B2545" w:rsidRDefault="003B2545" w:rsidP="003B2545">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6.0%</w:t>
            </w:r>
          </w:p>
        </w:tc>
        <w:tc>
          <w:tcPr>
            <w:tcW w:w="766" w:type="pct"/>
            <w:tcBorders>
              <w:top w:val="single" w:sz="4" w:space="0" w:color="auto"/>
              <w:bottom w:val="single" w:sz="4" w:space="0" w:color="auto"/>
            </w:tcBorders>
            <w:noWrap/>
            <w:vAlign w:val="center"/>
          </w:tcPr>
          <w:p w14:paraId="5B21EF49" w14:textId="77777777" w:rsidR="003B2545" w:rsidRDefault="003B2545" w:rsidP="003B2545">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15</w:t>
            </w:r>
          </w:p>
        </w:tc>
        <w:tc>
          <w:tcPr>
            <w:tcW w:w="766" w:type="pct"/>
            <w:tcBorders>
              <w:top w:val="single" w:sz="4" w:space="0" w:color="auto"/>
              <w:bottom w:val="single" w:sz="4" w:space="0" w:color="auto"/>
            </w:tcBorders>
            <w:vAlign w:val="center"/>
          </w:tcPr>
          <w:p w14:paraId="3FE5A3E1" w14:textId="77777777" w:rsidR="003B2545" w:rsidRDefault="003B2545" w:rsidP="003B2545">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5.3%</w:t>
            </w:r>
          </w:p>
        </w:tc>
        <w:tc>
          <w:tcPr>
            <w:tcW w:w="765" w:type="pct"/>
            <w:tcBorders>
              <w:top w:val="single" w:sz="4" w:space="0" w:color="auto"/>
              <w:bottom w:val="single" w:sz="4" w:space="0" w:color="auto"/>
            </w:tcBorders>
            <w:vAlign w:val="center"/>
          </w:tcPr>
          <w:p w14:paraId="67CCB8D7" w14:textId="77777777" w:rsidR="003B2545" w:rsidRDefault="003B2545" w:rsidP="003B2545">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13</w:t>
            </w:r>
          </w:p>
        </w:tc>
      </w:tr>
      <w:tr w:rsidR="003B2545" w:rsidRPr="00135364" w14:paraId="7AC673B1" w14:textId="77777777">
        <w:trPr>
          <w:trHeight w:val="510"/>
        </w:trPr>
        <w:tc>
          <w:tcPr>
            <w:tcW w:w="1941" w:type="pct"/>
            <w:tcBorders>
              <w:top w:val="single" w:sz="4" w:space="0" w:color="auto"/>
              <w:bottom w:val="single" w:sz="4" w:space="0" w:color="auto"/>
            </w:tcBorders>
            <w:vAlign w:val="center"/>
          </w:tcPr>
          <w:p w14:paraId="1A5C700A" w14:textId="77777777" w:rsidR="003B2545" w:rsidRDefault="003B2545" w:rsidP="00D14259">
            <w:pP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Other Quantitative Instruments</w:t>
            </w:r>
          </w:p>
        </w:tc>
        <w:tc>
          <w:tcPr>
            <w:tcW w:w="762" w:type="pct"/>
            <w:tcBorders>
              <w:top w:val="single" w:sz="4" w:space="0" w:color="auto"/>
              <w:bottom w:val="single" w:sz="4" w:space="0" w:color="auto"/>
            </w:tcBorders>
            <w:noWrap/>
            <w:vAlign w:val="center"/>
          </w:tcPr>
          <w:p w14:paraId="6742FBE8" w14:textId="77777777" w:rsidR="003B2545" w:rsidRDefault="003B2545" w:rsidP="003B2545">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6.0%</w:t>
            </w:r>
          </w:p>
        </w:tc>
        <w:tc>
          <w:tcPr>
            <w:tcW w:w="766" w:type="pct"/>
            <w:tcBorders>
              <w:top w:val="single" w:sz="4" w:space="0" w:color="auto"/>
              <w:bottom w:val="single" w:sz="4" w:space="0" w:color="auto"/>
            </w:tcBorders>
            <w:noWrap/>
            <w:vAlign w:val="center"/>
          </w:tcPr>
          <w:p w14:paraId="0FC6F00A" w14:textId="77777777" w:rsidR="003B2545" w:rsidRDefault="003B2545" w:rsidP="003B2545">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15</w:t>
            </w:r>
          </w:p>
        </w:tc>
        <w:tc>
          <w:tcPr>
            <w:tcW w:w="766" w:type="pct"/>
            <w:tcBorders>
              <w:top w:val="single" w:sz="4" w:space="0" w:color="auto"/>
              <w:bottom w:val="single" w:sz="4" w:space="0" w:color="auto"/>
            </w:tcBorders>
            <w:vAlign w:val="center"/>
          </w:tcPr>
          <w:p w14:paraId="5DF373AB" w14:textId="77777777" w:rsidR="003B2545" w:rsidRDefault="003B2545" w:rsidP="003B2545">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6.1%</w:t>
            </w:r>
          </w:p>
        </w:tc>
        <w:tc>
          <w:tcPr>
            <w:tcW w:w="765" w:type="pct"/>
            <w:tcBorders>
              <w:top w:val="single" w:sz="4" w:space="0" w:color="auto"/>
              <w:bottom w:val="single" w:sz="4" w:space="0" w:color="auto"/>
            </w:tcBorders>
            <w:vAlign w:val="center"/>
          </w:tcPr>
          <w:p w14:paraId="5FA93E43" w14:textId="77777777" w:rsidR="003B2545" w:rsidRDefault="003B2545" w:rsidP="003B2545">
            <w:pPr>
              <w:jc w:val="cente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15</w:t>
            </w:r>
          </w:p>
        </w:tc>
      </w:tr>
    </w:tbl>
    <w:p w14:paraId="2A5147F6" w14:textId="77777777" w:rsidR="003B60EF" w:rsidRDefault="003B60EF" w:rsidP="00327849">
      <w:pPr>
        <w:spacing w:line="360" w:lineRule="auto"/>
      </w:pPr>
    </w:p>
    <w:p w14:paraId="0B42692F" w14:textId="77777777" w:rsidR="006C452E" w:rsidRDefault="00B83B9D" w:rsidP="00327849">
      <w:pPr>
        <w:spacing w:line="360" w:lineRule="auto"/>
      </w:pPr>
      <w:r>
        <w:t xml:space="preserve">We then asked our respondents how often they engaged in work with the various orders of government </w:t>
      </w:r>
      <w:r w:rsidR="006C452E">
        <w:t>(Aboriginal, local, provincial and territorial, and federal). This question was designed to measure how far the academic community is from what appears to be the dominant model of research management for many governments: contracting out.</w:t>
      </w:r>
    </w:p>
    <w:p w14:paraId="0DC9E820" w14:textId="77777777" w:rsidR="00DB2BC3" w:rsidRDefault="00DB2BC3" w:rsidP="00327849">
      <w:pPr>
        <w:spacing w:line="360" w:lineRule="auto"/>
      </w:pPr>
    </w:p>
    <w:p w14:paraId="15DAC202" w14:textId="77777777" w:rsidR="003B60EF" w:rsidRDefault="006C452E" w:rsidP="00327849">
      <w:pPr>
        <w:spacing w:line="360" w:lineRule="auto"/>
      </w:pPr>
      <w:r>
        <w:t xml:space="preserve">We did not expect that even a large minority of academics would maintain high frequencies of engagement here because of the nature of career progression in academia. </w:t>
      </w:r>
      <w:r w:rsidR="004961A5">
        <w:t>We asked how often academics engaged in bidding on competitively advertised government contracts, how often they had been selected for a sole-source contract and how often they had provided policy analysis advice. The next four tables (14a to 14d) break down these results by order of government.</w:t>
      </w:r>
    </w:p>
    <w:p w14:paraId="04518AEA" w14:textId="77777777" w:rsidR="003B60EF" w:rsidRDefault="003B60EF" w:rsidP="00327849">
      <w:pPr>
        <w:spacing w:line="360" w:lineRule="auto"/>
      </w:pPr>
    </w:p>
    <w:p w14:paraId="474AF1B9" w14:textId="77777777" w:rsidR="004961A5" w:rsidRDefault="004961A5" w:rsidP="006C452E">
      <w:pPr>
        <w:spacing w:line="360" w:lineRule="auto"/>
      </w:pPr>
    </w:p>
    <w:p w14:paraId="21282152" w14:textId="77777777" w:rsidR="004961A5" w:rsidRDefault="004961A5" w:rsidP="006C452E">
      <w:pPr>
        <w:spacing w:line="360" w:lineRule="auto"/>
      </w:pPr>
    </w:p>
    <w:p w14:paraId="1B931BD6" w14:textId="77777777" w:rsidR="004961A5" w:rsidRDefault="004961A5" w:rsidP="006C452E">
      <w:pPr>
        <w:spacing w:line="360" w:lineRule="auto"/>
      </w:pPr>
    </w:p>
    <w:p w14:paraId="759F9A6F" w14:textId="77777777" w:rsidR="006C452E" w:rsidRDefault="006C452E" w:rsidP="006C452E">
      <w:pPr>
        <w:spacing w:line="360" w:lineRule="auto"/>
      </w:pPr>
      <w:r w:rsidRPr="00135364">
        <w:rPr>
          <w:i/>
        </w:rPr>
        <w:lastRenderedPageBreak/>
        <w:t xml:space="preserve">Table </w:t>
      </w:r>
      <w:r w:rsidR="00866BDF">
        <w:rPr>
          <w:i/>
        </w:rPr>
        <w:t>14</w:t>
      </w:r>
      <w:r w:rsidR="00EC4F2F">
        <w:rPr>
          <w:i/>
        </w:rPr>
        <w:t>a</w:t>
      </w:r>
      <w:r w:rsidRPr="00135364">
        <w:rPr>
          <w:i/>
        </w:rPr>
        <w:t xml:space="preserve">. </w:t>
      </w:r>
      <w:r w:rsidR="00866BDF">
        <w:rPr>
          <w:i/>
        </w:rPr>
        <w:t xml:space="preserve">Over the past two years have often have you – Federal Government </w:t>
      </w:r>
    </w:p>
    <w:tbl>
      <w:tblPr>
        <w:tblStyle w:val="Tableausimple1"/>
        <w:tblW w:w="5000" w:type="pct"/>
        <w:tblLook w:val="04A0" w:firstRow="1" w:lastRow="0" w:firstColumn="1" w:lastColumn="0" w:noHBand="0" w:noVBand="1"/>
      </w:tblPr>
      <w:tblGrid>
        <w:gridCol w:w="3199"/>
        <w:gridCol w:w="1059"/>
        <w:gridCol w:w="1059"/>
        <w:gridCol w:w="1421"/>
        <w:gridCol w:w="1059"/>
        <w:gridCol w:w="1059"/>
      </w:tblGrid>
      <w:tr w:rsidR="006C452E" w:rsidRPr="00724F47" w14:paraId="3D217D05" w14:textId="77777777" w:rsidTr="00FA5F3F">
        <w:trPr>
          <w:cnfStyle w:val="100000000000" w:firstRow="1" w:lastRow="0" w:firstColumn="0" w:lastColumn="0" w:oddVBand="0" w:evenVBand="0" w:oddHBand="0" w:evenHBand="0" w:firstRowFirstColumn="0" w:firstRowLastColumn="0" w:lastRowFirstColumn="0" w:lastRowLastColumn="0"/>
          <w:trHeight w:val="827"/>
        </w:trPr>
        <w:tc>
          <w:tcPr>
            <w:tcW w:w="1806" w:type="pct"/>
            <w:noWrap/>
          </w:tcPr>
          <w:p w14:paraId="06F48F49" w14:textId="77777777" w:rsidR="006C452E" w:rsidRPr="00724F47" w:rsidRDefault="006C452E" w:rsidP="003B60EF">
            <w:pPr>
              <w:rPr>
                <w:rFonts w:ascii="Microsoft Sans Serif" w:eastAsia="Times New Roman" w:hAnsi="Microsoft Sans Serif" w:cs="Microsoft Sans Serif"/>
                <w:sz w:val="16"/>
                <w:szCs w:val="16"/>
                <w:lang w:val="en-CA" w:eastAsia="en-CA"/>
              </w:rPr>
            </w:pPr>
          </w:p>
        </w:tc>
        <w:tc>
          <w:tcPr>
            <w:tcW w:w="598" w:type="pct"/>
          </w:tcPr>
          <w:p w14:paraId="6F2999D7" w14:textId="77777777" w:rsidR="006C452E" w:rsidRPr="00724F47" w:rsidRDefault="006C452E" w:rsidP="003B60EF">
            <w:pPr>
              <w:jc w:val="center"/>
              <w:rPr>
                <w:rFonts w:ascii="Microsoft Sans Serif" w:eastAsia="Times New Roman" w:hAnsi="Microsoft Sans Serif" w:cs="Microsoft Sans Serif"/>
                <w:b/>
                <w:bCs/>
                <w:sz w:val="18"/>
                <w:szCs w:val="18"/>
                <w:lang w:val="en-CA" w:eastAsia="en-CA"/>
              </w:rPr>
            </w:pPr>
            <w:r w:rsidRPr="00724F47">
              <w:rPr>
                <w:rFonts w:ascii="Microsoft Sans Serif" w:eastAsia="Times New Roman" w:hAnsi="Microsoft Sans Serif" w:cs="Microsoft Sans Serif"/>
                <w:b/>
                <w:bCs/>
                <w:sz w:val="18"/>
                <w:szCs w:val="18"/>
                <w:lang w:val="en-CA" w:eastAsia="en-CA"/>
              </w:rPr>
              <w:t xml:space="preserve">Never </w:t>
            </w:r>
          </w:p>
        </w:tc>
        <w:tc>
          <w:tcPr>
            <w:tcW w:w="598" w:type="pct"/>
          </w:tcPr>
          <w:p w14:paraId="29FFC165" w14:textId="77777777" w:rsidR="006C452E" w:rsidRPr="00724F47" w:rsidRDefault="006C452E" w:rsidP="003B60EF">
            <w:pPr>
              <w:jc w:val="center"/>
              <w:rPr>
                <w:rFonts w:ascii="Microsoft Sans Serif" w:eastAsia="Times New Roman" w:hAnsi="Microsoft Sans Serif" w:cs="Microsoft Sans Serif"/>
                <w:b/>
                <w:bCs/>
                <w:sz w:val="16"/>
                <w:szCs w:val="16"/>
                <w:lang w:val="en-CA" w:eastAsia="en-CA"/>
              </w:rPr>
            </w:pPr>
            <w:r w:rsidRPr="00724F47">
              <w:rPr>
                <w:rFonts w:ascii="Microsoft Sans Serif" w:eastAsia="Times New Roman" w:hAnsi="Microsoft Sans Serif" w:cs="Microsoft Sans Serif"/>
                <w:b/>
                <w:bCs/>
                <w:sz w:val="18"/>
                <w:szCs w:val="18"/>
                <w:lang w:val="en-CA" w:eastAsia="en-CA"/>
              </w:rPr>
              <w:t>Seldom</w:t>
            </w:r>
            <w:r w:rsidRPr="00724F47">
              <w:rPr>
                <w:rFonts w:ascii="Microsoft Sans Serif" w:eastAsia="Times New Roman" w:hAnsi="Microsoft Sans Serif" w:cs="Microsoft Sans Serif"/>
                <w:b/>
                <w:bCs/>
                <w:sz w:val="16"/>
                <w:szCs w:val="16"/>
                <w:lang w:val="en-CA" w:eastAsia="en-CA"/>
              </w:rPr>
              <w:t xml:space="preserve"> </w:t>
            </w:r>
            <w:r w:rsidRPr="00FA5F3F">
              <w:rPr>
                <w:rFonts w:ascii="Microsoft Sans Serif" w:eastAsia="Times New Roman" w:hAnsi="Microsoft Sans Serif" w:cs="Microsoft Sans Serif"/>
                <w:b/>
                <w:bCs/>
                <w:sz w:val="12"/>
                <w:szCs w:val="16"/>
                <w:lang w:val="en-CA" w:eastAsia="en-CA"/>
              </w:rPr>
              <w:t>(not more than twice per year)</w:t>
            </w:r>
          </w:p>
        </w:tc>
        <w:tc>
          <w:tcPr>
            <w:tcW w:w="802" w:type="pct"/>
          </w:tcPr>
          <w:p w14:paraId="53AB15EF" w14:textId="77777777" w:rsidR="006C452E" w:rsidRPr="00724F47" w:rsidRDefault="006C452E" w:rsidP="003B60EF">
            <w:pPr>
              <w:jc w:val="center"/>
              <w:rPr>
                <w:rFonts w:ascii="Microsoft Sans Serif" w:eastAsia="Times New Roman" w:hAnsi="Microsoft Sans Serif" w:cs="Microsoft Sans Serif"/>
                <w:b/>
                <w:bCs/>
                <w:sz w:val="16"/>
                <w:szCs w:val="16"/>
                <w:lang w:val="en-CA" w:eastAsia="en-CA"/>
              </w:rPr>
            </w:pPr>
            <w:r w:rsidRPr="00724F47">
              <w:rPr>
                <w:rFonts w:ascii="Microsoft Sans Serif" w:eastAsia="Times New Roman" w:hAnsi="Microsoft Sans Serif" w:cs="Microsoft Sans Serif"/>
                <w:b/>
                <w:bCs/>
                <w:sz w:val="18"/>
                <w:szCs w:val="18"/>
                <w:lang w:val="en-CA" w:eastAsia="en-CA"/>
              </w:rPr>
              <w:t>Occasionally</w:t>
            </w:r>
            <w:r w:rsidRPr="00724F47">
              <w:rPr>
                <w:rFonts w:ascii="Microsoft Sans Serif" w:eastAsia="Times New Roman" w:hAnsi="Microsoft Sans Serif" w:cs="Microsoft Sans Serif"/>
                <w:b/>
                <w:bCs/>
                <w:sz w:val="16"/>
                <w:szCs w:val="16"/>
                <w:lang w:val="en-CA" w:eastAsia="en-CA"/>
              </w:rPr>
              <w:t xml:space="preserve"> </w:t>
            </w:r>
            <w:r w:rsidRPr="00FA5F3F">
              <w:rPr>
                <w:rFonts w:ascii="Microsoft Sans Serif" w:eastAsia="Times New Roman" w:hAnsi="Microsoft Sans Serif" w:cs="Microsoft Sans Serif"/>
                <w:b/>
                <w:bCs/>
                <w:sz w:val="12"/>
                <w:szCs w:val="16"/>
                <w:lang w:val="en-CA" w:eastAsia="en-CA"/>
              </w:rPr>
              <w:t>(at least every three months)</w:t>
            </w:r>
          </w:p>
        </w:tc>
        <w:tc>
          <w:tcPr>
            <w:tcW w:w="598" w:type="pct"/>
          </w:tcPr>
          <w:p w14:paraId="65754E49" w14:textId="77777777" w:rsidR="006C452E" w:rsidRDefault="006C452E" w:rsidP="003B60EF">
            <w:pPr>
              <w:jc w:val="center"/>
              <w:rPr>
                <w:rFonts w:ascii="Microsoft Sans Serif" w:eastAsia="Times New Roman" w:hAnsi="Microsoft Sans Serif" w:cs="Microsoft Sans Serif"/>
                <w:b/>
                <w:bCs/>
                <w:sz w:val="16"/>
                <w:szCs w:val="16"/>
                <w:lang w:val="en-CA" w:eastAsia="en-CA"/>
              </w:rPr>
            </w:pPr>
            <w:r w:rsidRPr="00724F47">
              <w:rPr>
                <w:rFonts w:ascii="Microsoft Sans Serif" w:eastAsia="Times New Roman" w:hAnsi="Microsoft Sans Serif" w:cs="Microsoft Sans Serif"/>
                <w:b/>
                <w:bCs/>
                <w:sz w:val="18"/>
                <w:szCs w:val="18"/>
                <w:lang w:val="en-CA" w:eastAsia="en-CA"/>
              </w:rPr>
              <w:t>Often</w:t>
            </w:r>
            <w:r w:rsidRPr="00724F47">
              <w:rPr>
                <w:rFonts w:ascii="Microsoft Sans Serif" w:eastAsia="Times New Roman" w:hAnsi="Microsoft Sans Serif" w:cs="Microsoft Sans Serif"/>
                <w:b/>
                <w:bCs/>
                <w:sz w:val="16"/>
                <w:szCs w:val="16"/>
                <w:lang w:val="en-CA" w:eastAsia="en-CA"/>
              </w:rPr>
              <w:t xml:space="preserve"> </w:t>
            </w:r>
          </w:p>
          <w:p w14:paraId="604925E7" w14:textId="77777777" w:rsidR="006C452E" w:rsidRPr="00FA5F3F" w:rsidRDefault="006C452E" w:rsidP="003B60EF">
            <w:pPr>
              <w:jc w:val="center"/>
              <w:rPr>
                <w:rFonts w:ascii="Microsoft Sans Serif" w:eastAsia="Times New Roman" w:hAnsi="Microsoft Sans Serif" w:cs="Microsoft Sans Serif"/>
                <w:b/>
                <w:bCs/>
                <w:sz w:val="12"/>
                <w:szCs w:val="16"/>
                <w:lang w:val="en-CA" w:eastAsia="en-CA"/>
              </w:rPr>
            </w:pPr>
            <w:r w:rsidRPr="00FA5F3F">
              <w:rPr>
                <w:rFonts w:ascii="Microsoft Sans Serif" w:eastAsia="Times New Roman" w:hAnsi="Microsoft Sans Serif" w:cs="Microsoft Sans Serif"/>
                <w:b/>
                <w:bCs/>
                <w:sz w:val="12"/>
                <w:szCs w:val="16"/>
                <w:lang w:val="en-CA" w:eastAsia="en-CA"/>
              </w:rPr>
              <w:t>(at least every month)</w:t>
            </w:r>
          </w:p>
        </w:tc>
        <w:tc>
          <w:tcPr>
            <w:tcW w:w="598" w:type="pct"/>
          </w:tcPr>
          <w:p w14:paraId="713FF185" w14:textId="77777777" w:rsidR="006C452E" w:rsidRPr="00724F47" w:rsidRDefault="006C452E" w:rsidP="00FA5F3F">
            <w:pPr>
              <w:jc w:val="center"/>
              <w:rPr>
                <w:rFonts w:ascii="Microsoft Sans Serif" w:eastAsia="Times New Roman" w:hAnsi="Microsoft Sans Serif" w:cs="Microsoft Sans Serif"/>
                <w:b/>
                <w:bCs/>
                <w:sz w:val="16"/>
                <w:szCs w:val="16"/>
                <w:lang w:val="en-CA" w:eastAsia="en-CA"/>
              </w:rPr>
            </w:pPr>
            <w:r w:rsidRPr="00724F47">
              <w:rPr>
                <w:rFonts w:ascii="Microsoft Sans Serif" w:eastAsia="Times New Roman" w:hAnsi="Microsoft Sans Serif" w:cs="Microsoft Sans Serif"/>
                <w:b/>
                <w:bCs/>
                <w:sz w:val="18"/>
                <w:szCs w:val="18"/>
                <w:lang w:val="en-CA" w:eastAsia="en-CA"/>
              </w:rPr>
              <w:t>Very Often</w:t>
            </w:r>
            <w:r w:rsidRPr="00724F47">
              <w:rPr>
                <w:rFonts w:ascii="Microsoft Sans Serif" w:eastAsia="Times New Roman" w:hAnsi="Microsoft Sans Serif" w:cs="Microsoft Sans Serif"/>
                <w:b/>
                <w:bCs/>
                <w:sz w:val="16"/>
                <w:szCs w:val="16"/>
                <w:lang w:val="en-CA" w:eastAsia="en-CA"/>
              </w:rPr>
              <w:t xml:space="preserve"> </w:t>
            </w:r>
            <w:r w:rsidRPr="00FA5F3F">
              <w:rPr>
                <w:rFonts w:ascii="Microsoft Sans Serif" w:eastAsia="Times New Roman" w:hAnsi="Microsoft Sans Serif" w:cs="Microsoft Sans Serif"/>
                <w:b/>
                <w:bCs/>
                <w:sz w:val="12"/>
                <w:szCs w:val="16"/>
                <w:lang w:val="en-CA" w:eastAsia="en-CA"/>
              </w:rPr>
              <w:t>(</w:t>
            </w:r>
            <w:r w:rsidR="00FA5F3F" w:rsidRPr="00FA5F3F">
              <w:rPr>
                <w:rFonts w:ascii="Microsoft Sans Serif" w:eastAsia="Times New Roman" w:hAnsi="Microsoft Sans Serif" w:cs="Microsoft Sans Serif"/>
                <w:b/>
                <w:bCs/>
                <w:sz w:val="12"/>
                <w:szCs w:val="16"/>
                <w:lang w:val="en-CA" w:eastAsia="en-CA"/>
              </w:rPr>
              <w:t>more than twice per month</w:t>
            </w:r>
            <w:r w:rsidRPr="00724F47">
              <w:rPr>
                <w:rFonts w:ascii="Microsoft Sans Serif" w:eastAsia="Times New Roman" w:hAnsi="Microsoft Sans Serif" w:cs="Microsoft Sans Serif"/>
                <w:b/>
                <w:bCs/>
                <w:sz w:val="16"/>
                <w:szCs w:val="16"/>
                <w:lang w:val="en-CA" w:eastAsia="en-CA"/>
              </w:rPr>
              <w:t>)</w:t>
            </w:r>
          </w:p>
        </w:tc>
      </w:tr>
      <w:tr w:rsidR="006C452E" w:rsidRPr="00724F47" w14:paraId="0C2E5708" w14:textId="77777777">
        <w:trPr>
          <w:trHeight w:val="509"/>
        </w:trPr>
        <w:tc>
          <w:tcPr>
            <w:tcW w:w="1806" w:type="pct"/>
            <w:vAlign w:val="center"/>
          </w:tcPr>
          <w:p w14:paraId="48C5EC7A" w14:textId="77777777" w:rsidR="006C452E" w:rsidRPr="00724F47" w:rsidRDefault="00866BDF" w:rsidP="00866BDF">
            <w:pP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Bid on a c</w:t>
            </w:r>
            <w:r w:rsidR="006C452E">
              <w:rPr>
                <w:rFonts w:ascii="Microsoft Sans Serif" w:eastAsia="Times New Roman" w:hAnsi="Microsoft Sans Serif" w:cs="Microsoft Sans Serif"/>
                <w:sz w:val="18"/>
                <w:szCs w:val="18"/>
                <w:lang w:val="en-CA" w:eastAsia="en-CA"/>
              </w:rPr>
              <w:t xml:space="preserve">ompetitive </w:t>
            </w:r>
            <w:r w:rsidR="00F202E2">
              <w:rPr>
                <w:rFonts w:ascii="Microsoft Sans Serif" w:eastAsia="Times New Roman" w:hAnsi="Microsoft Sans Serif" w:cs="Microsoft Sans Serif"/>
                <w:sz w:val="18"/>
                <w:szCs w:val="18"/>
                <w:lang w:val="en-CA" w:eastAsia="en-CA"/>
              </w:rPr>
              <w:t>c</w:t>
            </w:r>
            <w:r w:rsidR="006C452E">
              <w:rPr>
                <w:rFonts w:ascii="Microsoft Sans Serif" w:eastAsia="Times New Roman" w:hAnsi="Microsoft Sans Serif" w:cs="Microsoft Sans Serif"/>
                <w:sz w:val="18"/>
                <w:szCs w:val="18"/>
                <w:lang w:val="en-CA" w:eastAsia="en-CA"/>
              </w:rPr>
              <w:t>ontract</w:t>
            </w:r>
          </w:p>
        </w:tc>
        <w:tc>
          <w:tcPr>
            <w:tcW w:w="598" w:type="pct"/>
            <w:noWrap/>
            <w:vAlign w:val="center"/>
          </w:tcPr>
          <w:p w14:paraId="6C0DDEFB" w14:textId="77777777" w:rsidR="006C452E" w:rsidRPr="003F03B2" w:rsidRDefault="004C34E0"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81.4</w:t>
            </w:r>
            <w:r w:rsidR="006C452E" w:rsidRPr="003F03B2">
              <w:rPr>
                <w:rFonts w:ascii="Microsoft Sans Serif" w:eastAsia="Times New Roman" w:hAnsi="Microsoft Sans Serif" w:cs="Microsoft Sans Serif"/>
                <w:sz w:val="20"/>
                <w:szCs w:val="20"/>
                <w:lang w:val="en-CA" w:eastAsia="en-CA"/>
              </w:rPr>
              <w:t>%</w:t>
            </w:r>
          </w:p>
        </w:tc>
        <w:tc>
          <w:tcPr>
            <w:tcW w:w="598" w:type="pct"/>
            <w:noWrap/>
            <w:vAlign w:val="center"/>
          </w:tcPr>
          <w:p w14:paraId="6B303B24" w14:textId="77777777" w:rsidR="006C452E" w:rsidRPr="003F03B2" w:rsidRDefault="004C34E0"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15.8</w:t>
            </w:r>
            <w:r w:rsidR="006C452E" w:rsidRPr="003F03B2">
              <w:rPr>
                <w:rFonts w:ascii="Microsoft Sans Serif" w:eastAsia="Times New Roman" w:hAnsi="Microsoft Sans Serif" w:cs="Microsoft Sans Serif"/>
                <w:sz w:val="20"/>
                <w:szCs w:val="20"/>
                <w:lang w:val="en-CA" w:eastAsia="en-CA"/>
              </w:rPr>
              <w:t>%</w:t>
            </w:r>
          </w:p>
        </w:tc>
        <w:tc>
          <w:tcPr>
            <w:tcW w:w="802" w:type="pct"/>
            <w:noWrap/>
            <w:vAlign w:val="center"/>
          </w:tcPr>
          <w:p w14:paraId="3459CCF0" w14:textId="77777777" w:rsidR="006C452E" w:rsidRPr="003F03B2" w:rsidRDefault="004C34E0"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2.4</w:t>
            </w:r>
            <w:r w:rsidR="006C452E" w:rsidRPr="003F03B2">
              <w:rPr>
                <w:rFonts w:ascii="Microsoft Sans Serif" w:eastAsia="Times New Roman" w:hAnsi="Microsoft Sans Serif" w:cs="Microsoft Sans Serif"/>
                <w:sz w:val="20"/>
                <w:szCs w:val="20"/>
                <w:lang w:val="en-CA" w:eastAsia="en-CA"/>
              </w:rPr>
              <w:t>%</w:t>
            </w:r>
          </w:p>
        </w:tc>
        <w:tc>
          <w:tcPr>
            <w:tcW w:w="598" w:type="pct"/>
            <w:noWrap/>
            <w:vAlign w:val="center"/>
          </w:tcPr>
          <w:p w14:paraId="7417EC93" w14:textId="77777777" w:rsidR="006C452E" w:rsidRPr="003F03B2" w:rsidRDefault="004C34E0"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0.3</w:t>
            </w:r>
            <w:r w:rsidR="006C452E" w:rsidRPr="003F03B2">
              <w:rPr>
                <w:rFonts w:ascii="Microsoft Sans Serif" w:eastAsia="Times New Roman" w:hAnsi="Microsoft Sans Serif" w:cs="Microsoft Sans Serif"/>
                <w:sz w:val="20"/>
                <w:szCs w:val="20"/>
                <w:lang w:val="en-CA" w:eastAsia="en-CA"/>
              </w:rPr>
              <w:t>%</w:t>
            </w:r>
          </w:p>
        </w:tc>
        <w:tc>
          <w:tcPr>
            <w:tcW w:w="598" w:type="pct"/>
            <w:noWrap/>
            <w:vAlign w:val="center"/>
          </w:tcPr>
          <w:p w14:paraId="54DBB7FD" w14:textId="77777777" w:rsidR="006C452E" w:rsidRPr="003F03B2" w:rsidRDefault="004C34E0"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w:t>
            </w:r>
          </w:p>
        </w:tc>
      </w:tr>
      <w:tr w:rsidR="00866BDF" w:rsidRPr="00724F47" w14:paraId="3EEF6E3E" w14:textId="77777777">
        <w:trPr>
          <w:trHeight w:val="420"/>
        </w:trPr>
        <w:tc>
          <w:tcPr>
            <w:tcW w:w="1806" w:type="pct"/>
            <w:vAlign w:val="center"/>
          </w:tcPr>
          <w:p w14:paraId="68CD7385" w14:textId="77777777" w:rsidR="00866BDF" w:rsidRPr="00724F47" w:rsidRDefault="00866BDF" w:rsidP="00866BDF">
            <w:pP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Been selected for a sole source contract</w:t>
            </w:r>
          </w:p>
        </w:tc>
        <w:tc>
          <w:tcPr>
            <w:tcW w:w="598" w:type="pct"/>
            <w:noWrap/>
            <w:vAlign w:val="center"/>
          </w:tcPr>
          <w:p w14:paraId="2CD59633" w14:textId="77777777" w:rsidR="00866BDF" w:rsidRPr="003F03B2" w:rsidRDefault="004C34E0"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80.8</w:t>
            </w:r>
            <w:r w:rsidR="00866BDF" w:rsidRPr="003F03B2">
              <w:rPr>
                <w:rFonts w:ascii="Microsoft Sans Serif" w:eastAsia="Times New Roman" w:hAnsi="Microsoft Sans Serif" w:cs="Microsoft Sans Serif"/>
                <w:sz w:val="20"/>
                <w:szCs w:val="20"/>
                <w:lang w:val="en-CA" w:eastAsia="en-CA"/>
              </w:rPr>
              <w:t>%</w:t>
            </w:r>
          </w:p>
        </w:tc>
        <w:tc>
          <w:tcPr>
            <w:tcW w:w="598" w:type="pct"/>
            <w:noWrap/>
            <w:vAlign w:val="center"/>
          </w:tcPr>
          <w:p w14:paraId="18EFF70D" w14:textId="77777777" w:rsidR="00866BDF" w:rsidRPr="003F03B2" w:rsidRDefault="004C34E0"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16.7</w:t>
            </w:r>
            <w:r w:rsidR="00866BDF" w:rsidRPr="003F03B2">
              <w:rPr>
                <w:rFonts w:ascii="Microsoft Sans Serif" w:eastAsia="Times New Roman" w:hAnsi="Microsoft Sans Serif" w:cs="Microsoft Sans Serif"/>
                <w:sz w:val="20"/>
                <w:szCs w:val="20"/>
                <w:lang w:val="en-CA" w:eastAsia="en-CA"/>
              </w:rPr>
              <w:t>%</w:t>
            </w:r>
          </w:p>
        </w:tc>
        <w:tc>
          <w:tcPr>
            <w:tcW w:w="802" w:type="pct"/>
            <w:noWrap/>
            <w:vAlign w:val="center"/>
          </w:tcPr>
          <w:p w14:paraId="48E55D01" w14:textId="77777777" w:rsidR="00866BDF" w:rsidRPr="003F03B2" w:rsidRDefault="004C34E0"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2.1</w:t>
            </w:r>
            <w:r w:rsidR="00866BDF" w:rsidRPr="003F03B2">
              <w:rPr>
                <w:rFonts w:ascii="Microsoft Sans Serif" w:eastAsia="Times New Roman" w:hAnsi="Microsoft Sans Serif" w:cs="Microsoft Sans Serif"/>
                <w:sz w:val="20"/>
                <w:szCs w:val="20"/>
                <w:lang w:val="en-CA" w:eastAsia="en-CA"/>
              </w:rPr>
              <w:t>%</w:t>
            </w:r>
          </w:p>
        </w:tc>
        <w:tc>
          <w:tcPr>
            <w:tcW w:w="598" w:type="pct"/>
            <w:noWrap/>
            <w:vAlign w:val="center"/>
          </w:tcPr>
          <w:p w14:paraId="222DBA72" w14:textId="77777777" w:rsidR="00866BDF" w:rsidRPr="003F03B2" w:rsidRDefault="004C34E0"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0.3</w:t>
            </w:r>
            <w:r w:rsidR="00866BDF" w:rsidRPr="003F03B2">
              <w:rPr>
                <w:rFonts w:ascii="Microsoft Sans Serif" w:eastAsia="Times New Roman" w:hAnsi="Microsoft Sans Serif" w:cs="Microsoft Sans Serif"/>
                <w:sz w:val="20"/>
                <w:szCs w:val="20"/>
                <w:lang w:val="en-CA" w:eastAsia="en-CA"/>
              </w:rPr>
              <w:t>%</w:t>
            </w:r>
          </w:p>
        </w:tc>
        <w:tc>
          <w:tcPr>
            <w:tcW w:w="598" w:type="pct"/>
            <w:noWrap/>
            <w:vAlign w:val="center"/>
          </w:tcPr>
          <w:p w14:paraId="4F565B0A" w14:textId="77777777" w:rsidR="00866BDF" w:rsidRPr="003F03B2" w:rsidRDefault="004C34E0"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w:t>
            </w:r>
          </w:p>
        </w:tc>
      </w:tr>
      <w:tr w:rsidR="00866BDF" w:rsidRPr="00724F47" w14:paraId="0A92077B" w14:textId="77777777">
        <w:trPr>
          <w:trHeight w:val="428"/>
        </w:trPr>
        <w:tc>
          <w:tcPr>
            <w:tcW w:w="1806" w:type="pct"/>
            <w:vAlign w:val="center"/>
          </w:tcPr>
          <w:p w14:paraId="026511AD" w14:textId="77777777" w:rsidR="00866BDF" w:rsidRPr="00724F47" w:rsidRDefault="00866BDF" w:rsidP="00866BDF">
            <w:pP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Provided policy analysis</w:t>
            </w:r>
          </w:p>
        </w:tc>
        <w:tc>
          <w:tcPr>
            <w:tcW w:w="598" w:type="pct"/>
            <w:noWrap/>
            <w:vAlign w:val="center"/>
          </w:tcPr>
          <w:p w14:paraId="7A63C275" w14:textId="77777777" w:rsidR="00866BDF" w:rsidRPr="003F03B2" w:rsidRDefault="00F202E2"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77.7</w:t>
            </w:r>
            <w:r w:rsidR="00866BDF" w:rsidRPr="003F03B2">
              <w:rPr>
                <w:rFonts w:ascii="Microsoft Sans Serif" w:eastAsia="Times New Roman" w:hAnsi="Microsoft Sans Serif" w:cs="Microsoft Sans Serif"/>
                <w:sz w:val="20"/>
                <w:szCs w:val="20"/>
                <w:lang w:val="en-CA" w:eastAsia="en-CA"/>
              </w:rPr>
              <w:t>%</w:t>
            </w:r>
          </w:p>
        </w:tc>
        <w:tc>
          <w:tcPr>
            <w:tcW w:w="598" w:type="pct"/>
            <w:noWrap/>
            <w:vAlign w:val="center"/>
          </w:tcPr>
          <w:p w14:paraId="6027ED94" w14:textId="77777777" w:rsidR="00866BDF" w:rsidRPr="003F03B2" w:rsidRDefault="00F202E2"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19.6</w:t>
            </w:r>
            <w:r w:rsidR="00866BDF" w:rsidRPr="003F03B2">
              <w:rPr>
                <w:rFonts w:ascii="Microsoft Sans Serif" w:eastAsia="Times New Roman" w:hAnsi="Microsoft Sans Serif" w:cs="Microsoft Sans Serif"/>
                <w:sz w:val="20"/>
                <w:szCs w:val="20"/>
                <w:lang w:val="en-CA" w:eastAsia="en-CA"/>
              </w:rPr>
              <w:t>%</w:t>
            </w:r>
          </w:p>
        </w:tc>
        <w:tc>
          <w:tcPr>
            <w:tcW w:w="802" w:type="pct"/>
            <w:noWrap/>
            <w:vAlign w:val="center"/>
          </w:tcPr>
          <w:p w14:paraId="76D226E5" w14:textId="77777777" w:rsidR="00866BDF" w:rsidRPr="003F03B2" w:rsidRDefault="00F202E2"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2.7</w:t>
            </w:r>
            <w:r w:rsidR="00866BDF" w:rsidRPr="003F03B2">
              <w:rPr>
                <w:rFonts w:ascii="Microsoft Sans Serif" w:eastAsia="Times New Roman" w:hAnsi="Microsoft Sans Serif" w:cs="Microsoft Sans Serif"/>
                <w:sz w:val="20"/>
                <w:szCs w:val="20"/>
                <w:lang w:val="en-CA" w:eastAsia="en-CA"/>
              </w:rPr>
              <w:t>%</w:t>
            </w:r>
          </w:p>
        </w:tc>
        <w:tc>
          <w:tcPr>
            <w:tcW w:w="598" w:type="pct"/>
            <w:noWrap/>
            <w:vAlign w:val="center"/>
          </w:tcPr>
          <w:p w14:paraId="772B211D" w14:textId="77777777" w:rsidR="00866BDF" w:rsidRPr="003F03B2" w:rsidRDefault="00F202E2"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w:t>
            </w:r>
          </w:p>
        </w:tc>
        <w:tc>
          <w:tcPr>
            <w:tcW w:w="598" w:type="pct"/>
            <w:noWrap/>
            <w:vAlign w:val="center"/>
          </w:tcPr>
          <w:p w14:paraId="4CA2548A" w14:textId="77777777" w:rsidR="00866BDF" w:rsidRPr="003F03B2" w:rsidRDefault="00F202E2"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w:t>
            </w:r>
          </w:p>
        </w:tc>
      </w:tr>
    </w:tbl>
    <w:p w14:paraId="1F35A8E4" w14:textId="77777777" w:rsidR="006C452E" w:rsidRDefault="006C452E" w:rsidP="006C452E">
      <w:pPr>
        <w:spacing w:line="360" w:lineRule="auto"/>
      </w:pPr>
    </w:p>
    <w:p w14:paraId="689CF6F0" w14:textId="77777777" w:rsidR="00EC4F2F" w:rsidRDefault="00EC4F2F" w:rsidP="00EC4F2F">
      <w:r w:rsidRPr="00135364">
        <w:rPr>
          <w:i/>
        </w:rPr>
        <w:t xml:space="preserve">Table </w:t>
      </w:r>
      <w:r>
        <w:rPr>
          <w:i/>
        </w:rPr>
        <w:t>14b</w:t>
      </w:r>
      <w:r w:rsidRPr="00135364">
        <w:rPr>
          <w:i/>
        </w:rPr>
        <w:t xml:space="preserve">. </w:t>
      </w:r>
      <w:r>
        <w:rPr>
          <w:i/>
        </w:rPr>
        <w:t>Over the past</w:t>
      </w:r>
      <w:r w:rsidR="002C4F91">
        <w:rPr>
          <w:i/>
        </w:rPr>
        <w:t xml:space="preserve"> two years have often have you </w:t>
      </w:r>
      <w:r>
        <w:rPr>
          <w:i/>
        </w:rPr>
        <w:t xml:space="preserve">– Provincial/Territorial Government </w:t>
      </w:r>
    </w:p>
    <w:tbl>
      <w:tblPr>
        <w:tblStyle w:val="Tableausimple1"/>
        <w:tblW w:w="5000" w:type="pct"/>
        <w:tblLook w:val="04A0" w:firstRow="1" w:lastRow="0" w:firstColumn="1" w:lastColumn="0" w:noHBand="0" w:noVBand="1"/>
      </w:tblPr>
      <w:tblGrid>
        <w:gridCol w:w="3199"/>
        <w:gridCol w:w="1059"/>
        <w:gridCol w:w="1059"/>
        <w:gridCol w:w="1421"/>
        <w:gridCol w:w="1059"/>
        <w:gridCol w:w="1059"/>
      </w:tblGrid>
      <w:tr w:rsidR="00FA5F3F" w:rsidRPr="00724F47" w14:paraId="3EB6B299" w14:textId="77777777">
        <w:trPr>
          <w:cnfStyle w:val="100000000000" w:firstRow="1" w:lastRow="0" w:firstColumn="0" w:lastColumn="0" w:oddVBand="0" w:evenVBand="0" w:oddHBand="0" w:evenHBand="0" w:firstRowFirstColumn="0" w:firstRowLastColumn="0" w:lastRowFirstColumn="0" w:lastRowLastColumn="0"/>
          <w:trHeight w:val="821"/>
        </w:trPr>
        <w:tc>
          <w:tcPr>
            <w:tcW w:w="1806" w:type="pct"/>
            <w:noWrap/>
          </w:tcPr>
          <w:p w14:paraId="68BA334C" w14:textId="77777777" w:rsidR="00FA5F3F" w:rsidRPr="00724F47" w:rsidRDefault="00FA5F3F" w:rsidP="003B60EF">
            <w:pPr>
              <w:rPr>
                <w:rFonts w:ascii="Microsoft Sans Serif" w:eastAsia="Times New Roman" w:hAnsi="Microsoft Sans Serif" w:cs="Microsoft Sans Serif"/>
                <w:sz w:val="16"/>
                <w:szCs w:val="16"/>
                <w:lang w:val="en-CA" w:eastAsia="en-CA"/>
              </w:rPr>
            </w:pPr>
          </w:p>
        </w:tc>
        <w:tc>
          <w:tcPr>
            <w:tcW w:w="598" w:type="pct"/>
          </w:tcPr>
          <w:p w14:paraId="4A4EC9D8" w14:textId="77777777" w:rsidR="00FA5F3F" w:rsidRPr="00724F47" w:rsidRDefault="00FA5F3F" w:rsidP="003B60EF">
            <w:pPr>
              <w:jc w:val="center"/>
              <w:rPr>
                <w:rFonts w:ascii="Microsoft Sans Serif" w:eastAsia="Times New Roman" w:hAnsi="Microsoft Sans Serif" w:cs="Microsoft Sans Serif"/>
                <w:b/>
                <w:bCs/>
                <w:sz w:val="18"/>
                <w:szCs w:val="18"/>
                <w:lang w:val="en-CA" w:eastAsia="en-CA"/>
              </w:rPr>
            </w:pPr>
            <w:r w:rsidRPr="00724F47">
              <w:rPr>
                <w:rFonts w:ascii="Microsoft Sans Serif" w:eastAsia="Times New Roman" w:hAnsi="Microsoft Sans Serif" w:cs="Microsoft Sans Serif"/>
                <w:b/>
                <w:bCs/>
                <w:sz w:val="18"/>
                <w:szCs w:val="18"/>
                <w:lang w:val="en-CA" w:eastAsia="en-CA"/>
              </w:rPr>
              <w:t xml:space="preserve">Never </w:t>
            </w:r>
          </w:p>
        </w:tc>
        <w:tc>
          <w:tcPr>
            <w:tcW w:w="598" w:type="pct"/>
          </w:tcPr>
          <w:p w14:paraId="4BA23823" w14:textId="77777777" w:rsidR="00FA5F3F" w:rsidRPr="00724F47" w:rsidRDefault="00FA5F3F" w:rsidP="003B60EF">
            <w:pPr>
              <w:jc w:val="center"/>
              <w:rPr>
                <w:rFonts w:ascii="Microsoft Sans Serif" w:eastAsia="Times New Roman" w:hAnsi="Microsoft Sans Serif" w:cs="Microsoft Sans Serif"/>
                <w:b/>
                <w:bCs/>
                <w:sz w:val="16"/>
                <w:szCs w:val="16"/>
                <w:lang w:val="en-CA" w:eastAsia="en-CA"/>
              </w:rPr>
            </w:pPr>
            <w:r w:rsidRPr="00724F47">
              <w:rPr>
                <w:rFonts w:ascii="Microsoft Sans Serif" w:eastAsia="Times New Roman" w:hAnsi="Microsoft Sans Serif" w:cs="Microsoft Sans Serif"/>
                <w:b/>
                <w:bCs/>
                <w:sz w:val="18"/>
                <w:szCs w:val="18"/>
                <w:lang w:val="en-CA" w:eastAsia="en-CA"/>
              </w:rPr>
              <w:t>Seldom</w:t>
            </w:r>
            <w:r w:rsidRPr="00724F47">
              <w:rPr>
                <w:rFonts w:ascii="Microsoft Sans Serif" w:eastAsia="Times New Roman" w:hAnsi="Microsoft Sans Serif" w:cs="Microsoft Sans Serif"/>
                <w:b/>
                <w:bCs/>
                <w:sz w:val="16"/>
                <w:szCs w:val="16"/>
                <w:lang w:val="en-CA" w:eastAsia="en-CA"/>
              </w:rPr>
              <w:t xml:space="preserve"> </w:t>
            </w:r>
            <w:r w:rsidRPr="00FA5F3F">
              <w:rPr>
                <w:rFonts w:ascii="Microsoft Sans Serif" w:eastAsia="Times New Roman" w:hAnsi="Microsoft Sans Serif" w:cs="Microsoft Sans Serif"/>
                <w:b/>
                <w:bCs/>
                <w:sz w:val="12"/>
                <w:szCs w:val="16"/>
                <w:lang w:val="en-CA" w:eastAsia="en-CA"/>
              </w:rPr>
              <w:t>(not more than twice per year)</w:t>
            </w:r>
          </w:p>
        </w:tc>
        <w:tc>
          <w:tcPr>
            <w:tcW w:w="802" w:type="pct"/>
          </w:tcPr>
          <w:p w14:paraId="29507A4C" w14:textId="77777777" w:rsidR="00FA5F3F" w:rsidRPr="00724F47" w:rsidRDefault="00FA5F3F" w:rsidP="003B60EF">
            <w:pPr>
              <w:jc w:val="center"/>
              <w:rPr>
                <w:rFonts w:ascii="Microsoft Sans Serif" w:eastAsia="Times New Roman" w:hAnsi="Microsoft Sans Serif" w:cs="Microsoft Sans Serif"/>
                <w:b/>
                <w:bCs/>
                <w:sz w:val="16"/>
                <w:szCs w:val="16"/>
                <w:lang w:val="en-CA" w:eastAsia="en-CA"/>
              </w:rPr>
            </w:pPr>
            <w:r w:rsidRPr="00724F47">
              <w:rPr>
                <w:rFonts w:ascii="Microsoft Sans Serif" w:eastAsia="Times New Roman" w:hAnsi="Microsoft Sans Serif" w:cs="Microsoft Sans Serif"/>
                <w:b/>
                <w:bCs/>
                <w:sz w:val="18"/>
                <w:szCs w:val="18"/>
                <w:lang w:val="en-CA" w:eastAsia="en-CA"/>
              </w:rPr>
              <w:t>Occasionally</w:t>
            </w:r>
            <w:r w:rsidRPr="00724F47">
              <w:rPr>
                <w:rFonts w:ascii="Microsoft Sans Serif" w:eastAsia="Times New Roman" w:hAnsi="Microsoft Sans Serif" w:cs="Microsoft Sans Serif"/>
                <w:b/>
                <w:bCs/>
                <w:sz w:val="16"/>
                <w:szCs w:val="16"/>
                <w:lang w:val="en-CA" w:eastAsia="en-CA"/>
              </w:rPr>
              <w:t xml:space="preserve"> </w:t>
            </w:r>
            <w:r w:rsidRPr="00FA5F3F">
              <w:rPr>
                <w:rFonts w:ascii="Microsoft Sans Serif" w:eastAsia="Times New Roman" w:hAnsi="Microsoft Sans Serif" w:cs="Microsoft Sans Serif"/>
                <w:b/>
                <w:bCs/>
                <w:sz w:val="12"/>
                <w:szCs w:val="16"/>
                <w:lang w:val="en-CA" w:eastAsia="en-CA"/>
              </w:rPr>
              <w:t>(at least every three months)</w:t>
            </w:r>
          </w:p>
        </w:tc>
        <w:tc>
          <w:tcPr>
            <w:tcW w:w="598" w:type="pct"/>
          </w:tcPr>
          <w:p w14:paraId="0F707873" w14:textId="77777777" w:rsidR="00FA5F3F" w:rsidRDefault="00FA5F3F" w:rsidP="003B60EF">
            <w:pPr>
              <w:jc w:val="center"/>
              <w:rPr>
                <w:rFonts w:ascii="Microsoft Sans Serif" w:eastAsia="Times New Roman" w:hAnsi="Microsoft Sans Serif" w:cs="Microsoft Sans Serif"/>
                <w:b/>
                <w:bCs/>
                <w:sz w:val="16"/>
                <w:szCs w:val="16"/>
                <w:lang w:val="en-CA" w:eastAsia="en-CA"/>
              </w:rPr>
            </w:pPr>
            <w:r w:rsidRPr="00724F47">
              <w:rPr>
                <w:rFonts w:ascii="Microsoft Sans Serif" w:eastAsia="Times New Roman" w:hAnsi="Microsoft Sans Serif" w:cs="Microsoft Sans Serif"/>
                <w:b/>
                <w:bCs/>
                <w:sz w:val="18"/>
                <w:szCs w:val="18"/>
                <w:lang w:val="en-CA" w:eastAsia="en-CA"/>
              </w:rPr>
              <w:t>Often</w:t>
            </w:r>
            <w:r w:rsidRPr="00724F47">
              <w:rPr>
                <w:rFonts w:ascii="Microsoft Sans Serif" w:eastAsia="Times New Roman" w:hAnsi="Microsoft Sans Serif" w:cs="Microsoft Sans Serif"/>
                <w:b/>
                <w:bCs/>
                <w:sz w:val="16"/>
                <w:szCs w:val="16"/>
                <w:lang w:val="en-CA" w:eastAsia="en-CA"/>
              </w:rPr>
              <w:t xml:space="preserve"> </w:t>
            </w:r>
          </w:p>
          <w:p w14:paraId="68C98826" w14:textId="77777777" w:rsidR="00FA5F3F" w:rsidRPr="00FA5F3F" w:rsidRDefault="00FA5F3F" w:rsidP="003B60EF">
            <w:pPr>
              <w:jc w:val="center"/>
              <w:rPr>
                <w:rFonts w:ascii="Microsoft Sans Serif" w:eastAsia="Times New Roman" w:hAnsi="Microsoft Sans Serif" w:cs="Microsoft Sans Serif"/>
                <w:b/>
                <w:bCs/>
                <w:sz w:val="12"/>
                <w:szCs w:val="16"/>
                <w:lang w:val="en-CA" w:eastAsia="en-CA"/>
              </w:rPr>
            </w:pPr>
            <w:r w:rsidRPr="00FA5F3F">
              <w:rPr>
                <w:rFonts w:ascii="Microsoft Sans Serif" w:eastAsia="Times New Roman" w:hAnsi="Microsoft Sans Serif" w:cs="Microsoft Sans Serif"/>
                <w:b/>
                <w:bCs/>
                <w:sz w:val="12"/>
                <w:szCs w:val="16"/>
                <w:lang w:val="en-CA" w:eastAsia="en-CA"/>
              </w:rPr>
              <w:t>(at least every month)</w:t>
            </w:r>
          </w:p>
        </w:tc>
        <w:tc>
          <w:tcPr>
            <w:tcW w:w="598" w:type="pct"/>
          </w:tcPr>
          <w:p w14:paraId="167918BC" w14:textId="77777777" w:rsidR="00FA5F3F" w:rsidRPr="00724F47" w:rsidRDefault="00FA5F3F" w:rsidP="00FA5F3F">
            <w:pPr>
              <w:jc w:val="center"/>
              <w:rPr>
                <w:rFonts w:ascii="Microsoft Sans Serif" w:eastAsia="Times New Roman" w:hAnsi="Microsoft Sans Serif" w:cs="Microsoft Sans Serif"/>
                <w:b/>
                <w:bCs/>
                <w:sz w:val="16"/>
                <w:szCs w:val="16"/>
                <w:lang w:val="en-CA" w:eastAsia="en-CA"/>
              </w:rPr>
            </w:pPr>
            <w:r w:rsidRPr="00724F47">
              <w:rPr>
                <w:rFonts w:ascii="Microsoft Sans Serif" w:eastAsia="Times New Roman" w:hAnsi="Microsoft Sans Serif" w:cs="Microsoft Sans Serif"/>
                <w:b/>
                <w:bCs/>
                <w:sz w:val="18"/>
                <w:szCs w:val="18"/>
                <w:lang w:val="en-CA" w:eastAsia="en-CA"/>
              </w:rPr>
              <w:t>Very Often</w:t>
            </w:r>
            <w:r w:rsidRPr="00724F47">
              <w:rPr>
                <w:rFonts w:ascii="Microsoft Sans Serif" w:eastAsia="Times New Roman" w:hAnsi="Microsoft Sans Serif" w:cs="Microsoft Sans Serif"/>
                <w:b/>
                <w:bCs/>
                <w:sz w:val="16"/>
                <w:szCs w:val="16"/>
                <w:lang w:val="en-CA" w:eastAsia="en-CA"/>
              </w:rPr>
              <w:t xml:space="preserve"> </w:t>
            </w:r>
            <w:r w:rsidRPr="00FA5F3F">
              <w:rPr>
                <w:rFonts w:ascii="Microsoft Sans Serif" w:eastAsia="Times New Roman" w:hAnsi="Microsoft Sans Serif" w:cs="Microsoft Sans Serif"/>
                <w:b/>
                <w:bCs/>
                <w:sz w:val="12"/>
                <w:szCs w:val="16"/>
                <w:lang w:val="en-CA" w:eastAsia="en-CA"/>
              </w:rPr>
              <w:t>(more than twice per month</w:t>
            </w:r>
            <w:r w:rsidRPr="00724F47">
              <w:rPr>
                <w:rFonts w:ascii="Microsoft Sans Serif" w:eastAsia="Times New Roman" w:hAnsi="Microsoft Sans Serif" w:cs="Microsoft Sans Serif"/>
                <w:b/>
                <w:bCs/>
                <w:sz w:val="16"/>
                <w:szCs w:val="16"/>
                <w:lang w:val="en-CA" w:eastAsia="en-CA"/>
              </w:rPr>
              <w:t>)</w:t>
            </w:r>
          </w:p>
        </w:tc>
      </w:tr>
      <w:tr w:rsidR="00EC4F2F" w:rsidRPr="00724F47" w14:paraId="5D339B3D" w14:textId="77777777">
        <w:trPr>
          <w:trHeight w:val="509"/>
        </w:trPr>
        <w:tc>
          <w:tcPr>
            <w:tcW w:w="1806" w:type="pct"/>
            <w:vAlign w:val="center"/>
          </w:tcPr>
          <w:p w14:paraId="01EE6A4F" w14:textId="77777777" w:rsidR="00EC4F2F" w:rsidRPr="00724F47" w:rsidRDefault="00F202E2" w:rsidP="00866BDF">
            <w:pP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Bid on a competitive c</w:t>
            </w:r>
            <w:r w:rsidR="00EC4F2F">
              <w:rPr>
                <w:rFonts w:ascii="Microsoft Sans Serif" w:eastAsia="Times New Roman" w:hAnsi="Microsoft Sans Serif" w:cs="Microsoft Sans Serif"/>
                <w:sz w:val="18"/>
                <w:szCs w:val="18"/>
                <w:lang w:val="en-CA" w:eastAsia="en-CA"/>
              </w:rPr>
              <w:t>ontract</w:t>
            </w:r>
          </w:p>
        </w:tc>
        <w:tc>
          <w:tcPr>
            <w:tcW w:w="598" w:type="pct"/>
            <w:noWrap/>
            <w:vAlign w:val="center"/>
          </w:tcPr>
          <w:p w14:paraId="3270FA31" w14:textId="77777777" w:rsidR="00EC4F2F" w:rsidRPr="003F03B2" w:rsidRDefault="004C34E0"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84.4</w:t>
            </w:r>
            <w:r w:rsidR="00EC4F2F" w:rsidRPr="003F03B2">
              <w:rPr>
                <w:rFonts w:ascii="Microsoft Sans Serif" w:eastAsia="Times New Roman" w:hAnsi="Microsoft Sans Serif" w:cs="Microsoft Sans Serif"/>
                <w:sz w:val="20"/>
                <w:szCs w:val="20"/>
                <w:lang w:val="en-CA" w:eastAsia="en-CA"/>
              </w:rPr>
              <w:t>%</w:t>
            </w:r>
          </w:p>
        </w:tc>
        <w:tc>
          <w:tcPr>
            <w:tcW w:w="598" w:type="pct"/>
            <w:noWrap/>
            <w:vAlign w:val="center"/>
          </w:tcPr>
          <w:p w14:paraId="333B0B10" w14:textId="77777777" w:rsidR="00EC4F2F" w:rsidRPr="003F03B2" w:rsidRDefault="004C34E0"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12.9</w:t>
            </w:r>
            <w:r w:rsidR="00EC4F2F" w:rsidRPr="003F03B2">
              <w:rPr>
                <w:rFonts w:ascii="Microsoft Sans Serif" w:eastAsia="Times New Roman" w:hAnsi="Microsoft Sans Serif" w:cs="Microsoft Sans Serif"/>
                <w:sz w:val="20"/>
                <w:szCs w:val="20"/>
                <w:lang w:val="en-CA" w:eastAsia="en-CA"/>
              </w:rPr>
              <w:t>%</w:t>
            </w:r>
          </w:p>
        </w:tc>
        <w:tc>
          <w:tcPr>
            <w:tcW w:w="802" w:type="pct"/>
            <w:noWrap/>
            <w:vAlign w:val="center"/>
          </w:tcPr>
          <w:p w14:paraId="7B242672" w14:textId="77777777" w:rsidR="00EC4F2F" w:rsidRPr="003F03B2" w:rsidRDefault="004C34E0"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2.4</w:t>
            </w:r>
            <w:r w:rsidR="00EC4F2F" w:rsidRPr="003F03B2">
              <w:rPr>
                <w:rFonts w:ascii="Microsoft Sans Serif" w:eastAsia="Times New Roman" w:hAnsi="Microsoft Sans Serif" w:cs="Microsoft Sans Serif"/>
                <w:sz w:val="20"/>
                <w:szCs w:val="20"/>
                <w:lang w:val="en-CA" w:eastAsia="en-CA"/>
              </w:rPr>
              <w:t>%</w:t>
            </w:r>
          </w:p>
        </w:tc>
        <w:tc>
          <w:tcPr>
            <w:tcW w:w="598" w:type="pct"/>
            <w:noWrap/>
            <w:vAlign w:val="center"/>
          </w:tcPr>
          <w:p w14:paraId="34E3E81D" w14:textId="77777777" w:rsidR="00EC4F2F" w:rsidRPr="003F03B2" w:rsidRDefault="004C34E0"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0.3</w:t>
            </w:r>
            <w:r w:rsidR="00EC4F2F" w:rsidRPr="003F03B2">
              <w:rPr>
                <w:rFonts w:ascii="Microsoft Sans Serif" w:eastAsia="Times New Roman" w:hAnsi="Microsoft Sans Serif" w:cs="Microsoft Sans Serif"/>
                <w:sz w:val="20"/>
                <w:szCs w:val="20"/>
                <w:lang w:val="en-CA" w:eastAsia="en-CA"/>
              </w:rPr>
              <w:t>%</w:t>
            </w:r>
          </w:p>
        </w:tc>
        <w:tc>
          <w:tcPr>
            <w:tcW w:w="598" w:type="pct"/>
            <w:noWrap/>
            <w:vAlign w:val="center"/>
          </w:tcPr>
          <w:p w14:paraId="264C6E63" w14:textId="77777777" w:rsidR="00EC4F2F" w:rsidRPr="003F03B2" w:rsidRDefault="004C34E0"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w:t>
            </w:r>
          </w:p>
        </w:tc>
      </w:tr>
      <w:tr w:rsidR="00EC4F2F" w:rsidRPr="00724F47" w14:paraId="7E6CE75B" w14:textId="77777777">
        <w:trPr>
          <w:trHeight w:val="420"/>
        </w:trPr>
        <w:tc>
          <w:tcPr>
            <w:tcW w:w="1806" w:type="pct"/>
            <w:vAlign w:val="center"/>
          </w:tcPr>
          <w:p w14:paraId="1FD753BF" w14:textId="77777777" w:rsidR="00EC4F2F" w:rsidRPr="00724F47" w:rsidRDefault="00EC4F2F" w:rsidP="00866BDF">
            <w:pP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Been selected for a sole source contract</w:t>
            </w:r>
          </w:p>
        </w:tc>
        <w:tc>
          <w:tcPr>
            <w:tcW w:w="598" w:type="pct"/>
            <w:noWrap/>
            <w:vAlign w:val="center"/>
          </w:tcPr>
          <w:p w14:paraId="22B47F09" w14:textId="77777777" w:rsidR="00EC4F2F" w:rsidRPr="003F03B2" w:rsidRDefault="004C34E0"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85.0</w:t>
            </w:r>
            <w:r w:rsidR="00EC4F2F" w:rsidRPr="003F03B2">
              <w:rPr>
                <w:rFonts w:ascii="Microsoft Sans Serif" w:eastAsia="Times New Roman" w:hAnsi="Microsoft Sans Serif" w:cs="Microsoft Sans Serif"/>
                <w:sz w:val="20"/>
                <w:szCs w:val="20"/>
                <w:lang w:val="en-CA" w:eastAsia="en-CA"/>
              </w:rPr>
              <w:t>%</w:t>
            </w:r>
          </w:p>
        </w:tc>
        <w:tc>
          <w:tcPr>
            <w:tcW w:w="598" w:type="pct"/>
            <w:noWrap/>
            <w:vAlign w:val="center"/>
          </w:tcPr>
          <w:p w14:paraId="017A3C0A" w14:textId="77777777" w:rsidR="00EC4F2F" w:rsidRPr="003F03B2" w:rsidRDefault="004C34E0"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13.2</w:t>
            </w:r>
            <w:r w:rsidR="00EC4F2F" w:rsidRPr="003F03B2">
              <w:rPr>
                <w:rFonts w:ascii="Microsoft Sans Serif" w:eastAsia="Times New Roman" w:hAnsi="Microsoft Sans Serif" w:cs="Microsoft Sans Serif"/>
                <w:sz w:val="20"/>
                <w:szCs w:val="20"/>
                <w:lang w:val="en-CA" w:eastAsia="en-CA"/>
              </w:rPr>
              <w:t>%</w:t>
            </w:r>
          </w:p>
        </w:tc>
        <w:tc>
          <w:tcPr>
            <w:tcW w:w="802" w:type="pct"/>
            <w:noWrap/>
            <w:vAlign w:val="center"/>
          </w:tcPr>
          <w:p w14:paraId="495DEED9" w14:textId="77777777" w:rsidR="00EC4F2F" w:rsidRPr="003F03B2" w:rsidRDefault="004C34E0"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1.8</w:t>
            </w:r>
            <w:r w:rsidR="00EC4F2F" w:rsidRPr="003F03B2">
              <w:rPr>
                <w:rFonts w:ascii="Microsoft Sans Serif" w:eastAsia="Times New Roman" w:hAnsi="Microsoft Sans Serif" w:cs="Microsoft Sans Serif"/>
                <w:sz w:val="20"/>
                <w:szCs w:val="20"/>
                <w:lang w:val="en-CA" w:eastAsia="en-CA"/>
              </w:rPr>
              <w:t>%</w:t>
            </w:r>
          </w:p>
        </w:tc>
        <w:tc>
          <w:tcPr>
            <w:tcW w:w="598" w:type="pct"/>
            <w:noWrap/>
            <w:vAlign w:val="center"/>
          </w:tcPr>
          <w:p w14:paraId="33A0E2E9" w14:textId="77777777" w:rsidR="00EC4F2F" w:rsidRPr="003F03B2" w:rsidRDefault="004C34E0"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w:t>
            </w:r>
          </w:p>
        </w:tc>
        <w:tc>
          <w:tcPr>
            <w:tcW w:w="598" w:type="pct"/>
            <w:noWrap/>
            <w:vAlign w:val="center"/>
          </w:tcPr>
          <w:p w14:paraId="3E2DCF0C" w14:textId="77777777" w:rsidR="00EC4F2F" w:rsidRPr="003F03B2" w:rsidRDefault="004C34E0"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w:t>
            </w:r>
          </w:p>
        </w:tc>
      </w:tr>
      <w:tr w:rsidR="00EC4F2F" w:rsidRPr="00724F47" w14:paraId="4DFC091C" w14:textId="77777777">
        <w:trPr>
          <w:trHeight w:val="428"/>
        </w:trPr>
        <w:tc>
          <w:tcPr>
            <w:tcW w:w="1806" w:type="pct"/>
            <w:vAlign w:val="center"/>
          </w:tcPr>
          <w:p w14:paraId="32F492C2" w14:textId="77777777" w:rsidR="00EC4F2F" w:rsidRPr="00724F47" w:rsidRDefault="00EC4F2F" w:rsidP="00866BDF">
            <w:pP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Provided policy analysis</w:t>
            </w:r>
          </w:p>
        </w:tc>
        <w:tc>
          <w:tcPr>
            <w:tcW w:w="598" w:type="pct"/>
            <w:noWrap/>
            <w:vAlign w:val="center"/>
          </w:tcPr>
          <w:p w14:paraId="6BAEEA53" w14:textId="77777777" w:rsidR="00EC4F2F" w:rsidRPr="003F03B2" w:rsidRDefault="00F202E2"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84.5</w:t>
            </w:r>
            <w:r w:rsidR="00EC4F2F" w:rsidRPr="003F03B2">
              <w:rPr>
                <w:rFonts w:ascii="Microsoft Sans Serif" w:eastAsia="Times New Roman" w:hAnsi="Microsoft Sans Serif" w:cs="Microsoft Sans Serif"/>
                <w:sz w:val="20"/>
                <w:szCs w:val="20"/>
                <w:lang w:val="en-CA" w:eastAsia="en-CA"/>
              </w:rPr>
              <w:t>%</w:t>
            </w:r>
          </w:p>
        </w:tc>
        <w:tc>
          <w:tcPr>
            <w:tcW w:w="598" w:type="pct"/>
            <w:noWrap/>
            <w:vAlign w:val="center"/>
          </w:tcPr>
          <w:p w14:paraId="306067CB" w14:textId="77777777" w:rsidR="00EC4F2F" w:rsidRPr="003F03B2" w:rsidRDefault="00F202E2"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13.7</w:t>
            </w:r>
            <w:r w:rsidR="00EC4F2F" w:rsidRPr="003F03B2">
              <w:rPr>
                <w:rFonts w:ascii="Microsoft Sans Serif" w:eastAsia="Times New Roman" w:hAnsi="Microsoft Sans Serif" w:cs="Microsoft Sans Serif"/>
                <w:sz w:val="20"/>
                <w:szCs w:val="20"/>
                <w:lang w:val="en-CA" w:eastAsia="en-CA"/>
              </w:rPr>
              <w:t>%</w:t>
            </w:r>
          </w:p>
        </w:tc>
        <w:tc>
          <w:tcPr>
            <w:tcW w:w="802" w:type="pct"/>
            <w:noWrap/>
            <w:vAlign w:val="center"/>
          </w:tcPr>
          <w:p w14:paraId="7D7A911D" w14:textId="77777777" w:rsidR="00EC4F2F" w:rsidRPr="003F03B2" w:rsidRDefault="00F202E2"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1.2</w:t>
            </w:r>
            <w:r w:rsidR="00EC4F2F" w:rsidRPr="003F03B2">
              <w:rPr>
                <w:rFonts w:ascii="Microsoft Sans Serif" w:eastAsia="Times New Roman" w:hAnsi="Microsoft Sans Serif" w:cs="Microsoft Sans Serif"/>
                <w:sz w:val="20"/>
                <w:szCs w:val="20"/>
                <w:lang w:val="en-CA" w:eastAsia="en-CA"/>
              </w:rPr>
              <w:t>%</w:t>
            </w:r>
          </w:p>
        </w:tc>
        <w:tc>
          <w:tcPr>
            <w:tcW w:w="598" w:type="pct"/>
            <w:noWrap/>
            <w:vAlign w:val="center"/>
          </w:tcPr>
          <w:p w14:paraId="621DF27B" w14:textId="77777777" w:rsidR="00EC4F2F" w:rsidRPr="003F03B2" w:rsidRDefault="00F202E2"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0.6</w:t>
            </w:r>
            <w:r w:rsidR="00EC4F2F" w:rsidRPr="003F03B2">
              <w:rPr>
                <w:rFonts w:ascii="Microsoft Sans Serif" w:eastAsia="Times New Roman" w:hAnsi="Microsoft Sans Serif" w:cs="Microsoft Sans Serif"/>
                <w:sz w:val="20"/>
                <w:szCs w:val="20"/>
                <w:lang w:val="en-CA" w:eastAsia="en-CA"/>
              </w:rPr>
              <w:t>%</w:t>
            </w:r>
          </w:p>
        </w:tc>
        <w:tc>
          <w:tcPr>
            <w:tcW w:w="598" w:type="pct"/>
            <w:noWrap/>
            <w:vAlign w:val="center"/>
          </w:tcPr>
          <w:p w14:paraId="31EC36B8" w14:textId="77777777" w:rsidR="00EC4F2F" w:rsidRPr="003F03B2" w:rsidRDefault="00F202E2"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w:t>
            </w:r>
          </w:p>
        </w:tc>
      </w:tr>
    </w:tbl>
    <w:p w14:paraId="58F64FF6" w14:textId="77777777" w:rsidR="00EC4F2F" w:rsidRDefault="00EC4F2F" w:rsidP="00EC4F2F">
      <w:pPr>
        <w:spacing w:line="360" w:lineRule="auto"/>
      </w:pPr>
    </w:p>
    <w:p w14:paraId="7C667392" w14:textId="77777777" w:rsidR="00EC4F2F" w:rsidRDefault="00EC4F2F" w:rsidP="00EC4F2F">
      <w:pPr>
        <w:spacing w:line="360" w:lineRule="auto"/>
      </w:pPr>
      <w:r w:rsidRPr="00135364">
        <w:rPr>
          <w:i/>
        </w:rPr>
        <w:t xml:space="preserve">Table </w:t>
      </w:r>
      <w:r>
        <w:rPr>
          <w:i/>
        </w:rPr>
        <w:t>14c</w:t>
      </w:r>
      <w:r w:rsidRPr="00135364">
        <w:rPr>
          <w:i/>
        </w:rPr>
        <w:t xml:space="preserve">. </w:t>
      </w:r>
      <w:r>
        <w:rPr>
          <w:i/>
        </w:rPr>
        <w:t>Over the pas</w:t>
      </w:r>
      <w:r w:rsidR="002C4F91">
        <w:rPr>
          <w:i/>
        </w:rPr>
        <w:t>t two years have often have you</w:t>
      </w:r>
      <w:r>
        <w:rPr>
          <w:i/>
        </w:rPr>
        <w:t xml:space="preserve"> – Local Government </w:t>
      </w:r>
    </w:p>
    <w:tbl>
      <w:tblPr>
        <w:tblStyle w:val="Tableausimple1"/>
        <w:tblW w:w="5000" w:type="pct"/>
        <w:tblLook w:val="04A0" w:firstRow="1" w:lastRow="0" w:firstColumn="1" w:lastColumn="0" w:noHBand="0" w:noVBand="1"/>
      </w:tblPr>
      <w:tblGrid>
        <w:gridCol w:w="3199"/>
        <w:gridCol w:w="1059"/>
        <w:gridCol w:w="1059"/>
        <w:gridCol w:w="1421"/>
        <w:gridCol w:w="1059"/>
        <w:gridCol w:w="1059"/>
      </w:tblGrid>
      <w:tr w:rsidR="00FA5F3F" w:rsidRPr="00724F47" w14:paraId="420EF42C" w14:textId="77777777">
        <w:trPr>
          <w:cnfStyle w:val="100000000000" w:firstRow="1" w:lastRow="0" w:firstColumn="0" w:lastColumn="0" w:oddVBand="0" w:evenVBand="0" w:oddHBand="0" w:evenHBand="0" w:firstRowFirstColumn="0" w:firstRowLastColumn="0" w:lastRowFirstColumn="0" w:lastRowLastColumn="0"/>
          <w:trHeight w:val="821"/>
        </w:trPr>
        <w:tc>
          <w:tcPr>
            <w:tcW w:w="1806" w:type="pct"/>
            <w:noWrap/>
          </w:tcPr>
          <w:p w14:paraId="016C94C4" w14:textId="77777777" w:rsidR="00FA5F3F" w:rsidRPr="00724F47" w:rsidRDefault="00FA5F3F" w:rsidP="003B60EF">
            <w:pPr>
              <w:rPr>
                <w:rFonts w:ascii="Microsoft Sans Serif" w:eastAsia="Times New Roman" w:hAnsi="Microsoft Sans Serif" w:cs="Microsoft Sans Serif"/>
                <w:sz w:val="16"/>
                <w:szCs w:val="16"/>
                <w:lang w:val="en-CA" w:eastAsia="en-CA"/>
              </w:rPr>
            </w:pPr>
          </w:p>
        </w:tc>
        <w:tc>
          <w:tcPr>
            <w:tcW w:w="598" w:type="pct"/>
          </w:tcPr>
          <w:p w14:paraId="3D93C5E5" w14:textId="77777777" w:rsidR="00FA5F3F" w:rsidRPr="00724F47" w:rsidRDefault="00FA5F3F" w:rsidP="003B60EF">
            <w:pPr>
              <w:jc w:val="center"/>
              <w:rPr>
                <w:rFonts w:ascii="Microsoft Sans Serif" w:eastAsia="Times New Roman" w:hAnsi="Microsoft Sans Serif" w:cs="Microsoft Sans Serif"/>
                <w:b/>
                <w:bCs/>
                <w:sz w:val="18"/>
                <w:szCs w:val="18"/>
                <w:lang w:val="en-CA" w:eastAsia="en-CA"/>
              </w:rPr>
            </w:pPr>
            <w:r w:rsidRPr="00724F47">
              <w:rPr>
                <w:rFonts w:ascii="Microsoft Sans Serif" w:eastAsia="Times New Roman" w:hAnsi="Microsoft Sans Serif" w:cs="Microsoft Sans Serif"/>
                <w:b/>
                <w:bCs/>
                <w:sz w:val="18"/>
                <w:szCs w:val="18"/>
                <w:lang w:val="en-CA" w:eastAsia="en-CA"/>
              </w:rPr>
              <w:t xml:space="preserve">Never </w:t>
            </w:r>
          </w:p>
        </w:tc>
        <w:tc>
          <w:tcPr>
            <w:tcW w:w="598" w:type="pct"/>
          </w:tcPr>
          <w:p w14:paraId="691BBFDA" w14:textId="77777777" w:rsidR="00FA5F3F" w:rsidRPr="00724F47" w:rsidRDefault="00FA5F3F" w:rsidP="003B60EF">
            <w:pPr>
              <w:jc w:val="center"/>
              <w:rPr>
                <w:rFonts w:ascii="Microsoft Sans Serif" w:eastAsia="Times New Roman" w:hAnsi="Microsoft Sans Serif" w:cs="Microsoft Sans Serif"/>
                <w:b/>
                <w:bCs/>
                <w:sz w:val="16"/>
                <w:szCs w:val="16"/>
                <w:lang w:val="en-CA" w:eastAsia="en-CA"/>
              </w:rPr>
            </w:pPr>
            <w:r w:rsidRPr="00724F47">
              <w:rPr>
                <w:rFonts w:ascii="Microsoft Sans Serif" w:eastAsia="Times New Roman" w:hAnsi="Microsoft Sans Serif" w:cs="Microsoft Sans Serif"/>
                <w:b/>
                <w:bCs/>
                <w:sz w:val="18"/>
                <w:szCs w:val="18"/>
                <w:lang w:val="en-CA" w:eastAsia="en-CA"/>
              </w:rPr>
              <w:t>Seldom</w:t>
            </w:r>
            <w:r w:rsidRPr="00724F47">
              <w:rPr>
                <w:rFonts w:ascii="Microsoft Sans Serif" w:eastAsia="Times New Roman" w:hAnsi="Microsoft Sans Serif" w:cs="Microsoft Sans Serif"/>
                <w:b/>
                <w:bCs/>
                <w:sz w:val="16"/>
                <w:szCs w:val="16"/>
                <w:lang w:val="en-CA" w:eastAsia="en-CA"/>
              </w:rPr>
              <w:t xml:space="preserve"> </w:t>
            </w:r>
            <w:r w:rsidRPr="00FA5F3F">
              <w:rPr>
                <w:rFonts w:ascii="Microsoft Sans Serif" w:eastAsia="Times New Roman" w:hAnsi="Microsoft Sans Serif" w:cs="Microsoft Sans Serif"/>
                <w:b/>
                <w:bCs/>
                <w:sz w:val="12"/>
                <w:szCs w:val="16"/>
                <w:lang w:val="en-CA" w:eastAsia="en-CA"/>
              </w:rPr>
              <w:t>(not more than twice per year)</w:t>
            </w:r>
          </w:p>
        </w:tc>
        <w:tc>
          <w:tcPr>
            <w:tcW w:w="802" w:type="pct"/>
          </w:tcPr>
          <w:p w14:paraId="689BF572" w14:textId="77777777" w:rsidR="00FA5F3F" w:rsidRPr="00724F47" w:rsidRDefault="00FA5F3F" w:rsidP="003B60EF">
            <w:pPr>
              <w:jc w:val="center"/>
              <w:rPr>
                <w:rFonts w:ascii="Microsoft Sans Serif" w:eastAsia="Times New Roman" w:hAnsi="Microsoft Sans Serif" w:cs="Microsoft Sans Serif"/>
                <w:b/>
                <w:bCs/>
                <w:sz w:val="16"/>
                <w:szCs w:val="16"/>
                <w:lang w:val="en-CA" w:eastAsia="en-CA"/>
              </w:rPr>
            </w:pPr>
            <w:r w:rsidRPr="00724F47">
              <w:rPr>
                <w:rFonts w:ascii="Microsoft Sans Serif" w:eastAsia="Times New Roman" w:hAnsi="Microsoft Sans Serif" w:cs="Microsoft Sans Serif"/>
                <w:b/>
                <w:bCs/>
                <w:sz w:val="18"/>
                <w:szCs w:val="18"/>
                <w:lang w:val="en-CA" w:eastAsia="en-CA"/>
              </w:rPr>
              <w:t>Occasionally</w:t>
            </w:r>
            <w:r w:rsidRPr="00724F47">
              <w:rPr>
                <w:rFonts w:ascii="Microsoft Sans Serif" w:eastAsia="Times New Roman" w:hAnsi="Microsoft Sans Serif" w:cs="Microsoft Sans Serif"/>
                <w:b/>
                <w:bCs/>
                <w:sz w:val="16"/>
                <w:szCs w:val="16"/>
                <w:lang w:val="en-CA" w:eastAsia="en-CA"/>
              </w:rPr>
              <w:t xml:space="preserve"> </w:t>
            </w:r>
            <w:r w:rsidRPr="00FA5F3F">
              <w:rPr>
                <w:rFonts w:ascii="Microsoft Sans Serif" w:eastAsia="Times New Roman" w:hAnsi="Microsoft Sans Serif" w:cs="Microsoft Sans Serif"/>
                <w:b/>
                <w:bCs/>
                <w:sz w:val="12"/>
                <w:szCs w:val="16"/>
                <w:lang w:val="en-CA" w:eastAsia="en-CA"/>
              </w:rPr>
              <w:t>(at least every three months)</w:t>
            </w:r>
          </w:p>
        </w:tc>
        <w:tc>
          <w:tcPr>
            <w:tcW w:w="598" w:type="pct"/>
          </w:tcPr>
          <w:p w14:paraId="4223FBCB" w14:textId="77777777" w:rsidR="00FA5F3F" w:rsidRDefault="00FA5F3F" w:rsidP="003B60EF">
            <w:pPr>
              <w:jc w:val="center"/>
              <w:rPr>
                <w:rFonts w:ascii="Microsoft Sans Serif" w:eastAsia="Times New Roman" w:hAnsi="Microsoft Sans Serif" w:cs="Microsoft Sans Serif"/>
                <w:b/>
                <w:bCs/>
                <w:sz w:val="16"/>
                <w:szCs w:val="16"/>
                <w:lang w:val="en-CA" w:eastAsia="en-CA"/>
              </w:rPr>
            </w:pPr>
            <w:r w:rsidRPr="00724F47">
              <w:rPr>
                <w:rFonts w:ascii="Microsoft Sans Serif" w:eastAsia="Times New Roman" w:hAnsi="Microsoft Sans Serif" w:cs="Microsoft Sans Serif"/>
                <w:b/>
                <w:bCs/>
                <w:sz w:val="18"/>
                <w:szCs w:val="18"/>
                <w:lang w:val="en-CA" w:eastAsia="en-CA"/>
              </w:rPr>
              <w:t>Often</w:t>
            </w:r>
            <w:r w:rsidRPr="00724F47">
              <w:rPr>
                <w:rFonts w:ascii="Microsoft Sans Serif" w:eastAsia="Times New Roman" w:hAnsi="Microsoft Sans Serif" w:cs="Microsoft Sans Serif"/>
                <w:b/>
                <w:bCs/>
                <w:sz w:val="16"/>
                <w:szCs w:val="16"/>
                <w:lang w:val="en-CA" w:eastAsia="en-CA"/>
              </w:rPr>
              <w:t xml:space="preserve"> </w:t>
            </w:r>
          </w:p>
          <w:p w14:paraId="797F6B5E" w14:textId="77777777" w:rsidR="00FA5F3F" w:rsidRPr="00FA5F3F" w:rsidRDefault="00FA5F3F" w:rsidP="003B60EF">
            <w:pPr>
              <w:jc w:val="center"/>
              <w:rPr>
                <w:rFonts w:ascii="Microsoft Sans Serif" w:eastAsia="Times New Roman" w:hAnsi="Microsoft Sans Serif" w:cs="Microsoft Sans Serif"/>
                <w:b/>
                <w:bCs/>
                <w:sz w:val="12"/>
                <w:szCs w:val="16"/>
                <w:lang w:val="en-CA" w:eastAsia="en-CA"/>
              </w:rPr>
            </w:pPr>
            <w:r w:rsidRPr="00FA5F3F">
              <w:rPr>
                <w:rFonts w:ascii="Microsoft Sans Serif" w:eastAsia="Times New Roman" w:hAnsi="Microsoft Sans Serif" w:cs="Microsoft Sans Serif"/>
                <w:b/>
                <w:bCs/>
                <w:sz w:val="12"/>
                <w:szCs w:val="16"/>
                <w:lang w:val="en-CA" w:eastAsia="en-CA"/>
              </w:rPr>
              <w:t>(at least every month)</w:t>
            </w:r>
          </w:p>
        </w:tc>
        <w:tc>
          <w:tcPr>
            <w:tcW w:w="598" w:type="pct"/>
          </w:tcPr>
          <w:p w14:paraId="2846E013" w14:textId="77777777" w:rsidR="00FA5F3F" w:rsidRPr="00724F47" w:rsidRDefault="00FA5F3F" w:rsidP="00FA5F3F">
            <w:pPr>
              <w:jc w:val="center"/>
              <w:rPr>
                <w:rFonts w:ascii="Microsoft Sans Serif" w:eastAsia="Times New Roman" w:hAnsi="Microsoft Sans Serif" w:cs="Microsoft Sans Serif"/>
                <w:b/>
                <w:bCs/>
                <w:sz w:val="16"/>
                <w:szCs w:val="16"/>
                <w:lang w:val="en-CA" w:eastAsia="en-CA"/>
              </w:rPr>
            </w:pPr>
            <w:r w:rsidRPr="00724F47">
              <w:rPr>
                <w:rFonts w:ascii="Microsoft Sans Serif" w:eastAsia="Times New Roman" w:hAnsi="Microsoft Sans Serif" w:cs="Microsoft Sans Serif"/>
                <w:b/>
                <w:bCs/>
                <w:sz w:val="18"/>
                <w:szCs w:val="18"/>
                <w:lang w:val="en-CA" w:eastAsia="en-CA"/>
              </w:rPr>
              <w:t>Very Often</w:t>
            </w:r>
            <w:r w:rsidRPr="00724F47">
              <w:rPr>
                <w:rFonts w:ascii="Microsoft Sans Serif" w:eastAsia="Times New Roman" w:hAnsi="Microsoft Sans Serif" w:cs="Microsoft Sans Serif"/>
                <w:b/>
                <w:bCs/>
                <w:sz w:val="16"/>
                <w:szCs w:val="16"/>
                <w:lang w:val="en-CA" w:eastAsia="en-CA"/>
              </w:rPr>
              <w:t xml:space="preserve"> </w:t>
            </w:r>
            <w:r w:rsidRPr="00FA5F3F">
              <w:rPr>
                <w:rFonts w:ascii="Microsoft Sans Serif" w:eastAsia="Times New Roman" w:hAnsi="Microsoft Sans Serif" w:cs="Microsoft Sans Serif"/>
                <w:b/>
                <w:bCs/>
                <w:sz w:val="12"/>
                <w:szCs w:val="16"/>
                <w:lang w:val="en-CA" w:eastAsia="en-CA"/>
              </w:rPr>
              <w:t>(more than twice per month</w:t>
            </w:r>
            <w:r w:rsidRPr="00724F47">
              <w:rPr>
                <w:rFonts w:ascii="Microsoft Sans Serif" w:eastAsia="Times New Roman" w:hAnsi="Microsoft Sans Serif" w:cs="Microsoft Sans Serif"/>
                <w:b/>
                <w:bCs/>
                <w:sz w:val="16"/>
                <w:szCs w:val="16"/>
                <w:lang w:val="en-CA" w:eastAsia="en-CA"/>
              </w:rPr>
              <w:t>)</w:t>
            </w:r>
          </w:p>
        </w:tc>
      </w:tr>
      <w:tr w:rsidR="00EC4F2F" w:rsidRPr="00724F47" w14:paraId="1A05A0C8" w14:textId="77777777">
        <w:trPr>
          <w:trHeight w:val="509"/>
        </w:trPr>
        <w:tc>
          <w:tcPr>
            <w:tcW w:w="1806" w:type="pct"/>
            <w:vAlign w:val="center"/>
          </w:tcPr>
          <w:p w14:paraId="52BA0976" w14:textId="77777777" w:rsidR="00EC4F2F" w:rsidRPr="00724F47" w:rsidRDefault="00F202E2" w:rsidP="00866BDF">
            <w:pP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Bid on a competitive c</w:t>
            </w:r>
            <w:r w:rsidR="00EC4F2F">
              <w:rPr>
                <w:rFonts w:ascii="Microsoft Sans Serif" w:eastAsia="Times New Roman" w:hAnsi="Microsoft Sans Serif" w:cs="Microsoft Sans Serif"/>
                <w:sz w:val="18"/>
                <w:szCs w:val="18"/>
                <w:lang w:val="en-CA" w:eastAsia="en-CA"/>
              </w:rPr>
              <w:t>ontract</w:t>
            </w:r>
          </w:p>
        </w:tc>
        <w:tc>
          <w:tcPr>
            <w:tcW w:w="598" w:type="pct"/>
            <w:noWrap/>
            <w:vAlign w:val="center"/>
          </w:tcPr>
          <w:p w14:paraId="4609C6AA" w14:textId="77777777" w:rsidR="00EC4F2F" w:rsidRPr="003F03B2" w:rsidRDefault="004C34E0"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93.0</w:t>
            </w:r>
            <w:r w:rsidR="00EC4F2F" w:rsidRPr="003F03B2">
              <w:rPr>
                <w:rFonts w:ascii="Microsoft Sans Serif" w:eastAsia="Times New Roman" w:hAnsi="Microsoft Sans Serif" w:cs="Microsoft Sans Serif"/>
                <w:sz w:val="20"/>
                <w:szCs w:val="20"/>
                <w:lang w:val="en-CA" w:eastAsia="en-CA"/>
              </w:rPr>
              <w:t>%</w:t>
            </w:r>
          </w:p>
        </w:tc>
        <w:tc>
          <w:tcPr>
            <w:tcW w:w="598" w:type="pct"/>
            <w:noWrap/>
            <w:vAlign w:val="center"/>
          </w:tcPr>
          <w:p w14:paraId="00173696" w14:textId="77777777" w:rsidR="00EC4F2F" w:rsidRPr="003F03B2" w:rsidRDefault="004C34E0"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7.0</w:t>
            </w:r>
            <w:r w:rsidR="00EC4F2F" w:rsidRPr="003F03B2">
              <w:rPr>
                <w:rFonts w:ascii="Microsoft Sans Serif" w:eastAsia="Times New Roman" w:hAnsi="Microsoft Sans Serif" w:cs="Microsoft Sans Serif"/>
                <w:sz w:val="20"/>
                <w:szCs w:val="20"/>
                <w:lang w:val="en-CA" w:eastAsia="en-CA"/>
              </w:rPr>
              <w:t>%</w:t>
            </w:r>
          </w:p>
        </w:tc>
        <w:tc>
          <w:tcPr>
            <w:tcW w:w="802" w:type="pct"/>
            <w:noWrap/>
            <w:vAlign w:val="center"/>
          </w:tcPr>
          <w:p w14:paraId="1595CF45" w14:textId="77777777" w:rsidR="00EC4F2F" w:rsidRPr="003F03B2" w:rsidRDefault="004C34E0"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w:t>
            </w:r>
          </w:p>
        </w:tc>
        <w:tc>
          <w:tcPr>
            <w:tcW w:w="598" w:type="pct"/>
            <w:noWrap/>
            <w:vAlign w:val="center"/>
          </w:tcPr>
          <w:p w14:paraId="2F3D3514" w14:textId="77777777" w:rsidR="00EC4F2F" w:rsidRPr="003F03B2" w:rsidRDefault="004C34E0"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w:t>
            </w:r>
          </w:p>
        </w:tc>
        <w:tc>
          <w:tcPr>
            <w:tcW w:w="598" w:type="pct"/>
            <w:noWrap/>
            <w:vAlign w:val="center"/>
          </w:tcPr>
          <w:p w14:paraId="5A2A0B70" w14:textId="77777777" w:rsidR="00EC4F2F" w:rsidRPr="003F03B2" w:rsidRDefault="004C34E0"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w:t>
            </w:r>
          </w:p>
        </w:tc>
      </w:tr>
      <w:tr w:rsidR="00EC4F2F" w:rsidRPr="00724F47" w14:paraId="2D225540" w14:textId="77777777">
        <w:trPr>
          <w:trHeight w:val="420"/>
        </w:trPr>
        <w:tc>
          <w:tcPr>
            <w:tcW w:w="1806" w:type="pct"/>
            <w:vAlign w:val="center"/>
          </w:tcPr>
          <w:p w14:paraId="64F5CB02" w14:textId="77777777" w:rsidR="00EC4F2F" w:rsidRPr="00724F47" w:rsidRDefault="00EC4F2F" w:rsidP="00866BDF">
            <w:pP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Been selected for a sole source contract</w:t>
            </w:r>
          </w:p>
        </w:tc>
        <w:tc>
          <w:tcPr>
            <w:tcW w:w="598" w:type="pct"/>
            <w:noWrap/>
            <w:vAlign w:val="center"/>
          </w:tcPr>
          <w:p w14:paraId="4479E7F7" w14:textId="77777777" w:rsidR="00EC4F2F" w:rsidRPr="003F03B2" w:rsidRDefault="004C34E0"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92.6</w:t>
            </w:r>
            <w:r w:rsidR="00EC4F2F" w:rsidRPr="003F03B2">
              <w:rPr>
                <w:rFonts w:ascii="Microsoft Sans Serif" w:eastAsia="Times New Roman" w:hAnsi="Microsoft Sans Serif" w:cs="Microsoft Sans Serif"/>
                <w:sz w:val="20"/>
                <w:szCs w:val="20"/>
                <w:lang w:val="en-CA" w:eastAsia="en-CA"/>
              </w:rPr>
              <w:t>%</w:t>
            </w:r>
          </w:p>
        </w:tc>
        <w:tc>
          <w:tcPr>
            <w:tcW w:w="598" w:type="pct"/>
            <w:noWrap/>
            <w:vAlign w:val="center"/>
          </w:tcPr>
          <w:p w14:paraId="13C4B936" w14:textId="77777777" w:rsidR="00EC4F2F" w:rsidRPr="003F03B2" w:rsidRDefault="004C34E0"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7.1</w:t>
            </w:r>
            <w:r w:rsidR="00EC4F2F" w:rsidRPr="003F03B2">
              <w:rPr>
                <w:rFonts w:ascii="Microsoft Sans Serif" w:eastAsia="Times New Roman" w:hAnsi="Microsoft Sans Serif" w:cs="Microsoft Sans Serif"/>
                <w:sz w:val="20"/>
                <w:szCs w:val="20"/>
                <w:lang w:val="en-CA" w:eastAsia="en-CA"/>
              </w:rPr>
              <w:t>%</w:t>
            </w:r>
          </w:p>
        </w:tc>
        <w:tc>
          <w:tcPr>
            <w:tcW w:w="802" w:type="pct"/>
            <w:noWrap/>
            <w:vAlign w:val="center"/>
          </w:tcPr>
          <w:p w14:paraId="7D021538" w14:textId="77777777" w:rsidR="00EC4F2F" w:rsidRPr="003F03B2" w:rsidRDefault="004C34E0"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0.3</w:t>
            </w:r>
            <w:r w:rsidR="00EC4F2F" w:rsidRPr="003F03B2">
              <w:rPr>
                <w:rFonts w:ascii="Microsoft Sans Serif" w:eastAsia="Times New Roman" w:hAnsi="Microsoft Sans Serif" w:cs="Microsoft Sans Serif"/>
                <w:sz w:val="20"/>
                <w:szCs w:val="20"/>
                <w:lang w:val="en-CA" w:eastAsia="en-CA"/>
              </w:rPr>
              <w:t>%</w:t>
            </w:r>
          </w:p>
        </w:tc>
        <w:tc>
          <w:tcPr>
            <w:tcW w:w="598" w:type="pct"/>
            <w:noWrap/>
            <w:vAlign w:val="center"/>
          </w:tcPr>
          <w:p w14:paraId="53F505EB" w14:textId="77777777" w:rsidR="00EC4F2F" w:rsidRPr="003F03B2" w:rsidRDefault="004C34E0"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w:t>
            </w:r>
          </w:p>
        </w:tc>
        <w:tc>
          <w:tcPr>
            <w:tcW w:w="598" w:type="pct"/>
            <w:noWrap/>
            <w:vAlign w:val="center"/>
          </w:tcPr>
          <w:p w14:paraId="79F0FCE2" w14:textId="77777777" w:rsidR="00EC4F2F" w:rsidRPr="003F03B2" w:rsidRDefault="004C34E0"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w:t>
            </w:r>
          </w:p>
        </w:tc>
      </w:tr>
      <w:tr w:rsidR="00EC4F2F" w:rsidRPr="00724F47" w14:paraId="66D1F8EC" w14:textId="77777777">
        <w:trPr>
          <w:trHeight w:val="428"/>
        </w:trPr>
        <w:tc>
          <w:tcPr>
            <w:tcW w:w="1806" w:type="pct"/>
            <w:vAlign w:val="center"/>
          </w:tcPr>
          <w:p w14:paraId="192D4880" w14:textId="77777777" w:rsidR="00EC4F2F" w:rsidRPr="00724F47" w:rsidRDefault="00EC4F2F" w:rsidP="00866BDF">
            <w:pP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Provided policy analysis</w:t>
            </w:r>
          </w:p>
        </w:tc>
        <w:tc>
          <w:tcPr>
            <w:tcW w:w="598" w:type="pct"/>
            <w:noWrap/>
            <w:vAlign w:val="center"/>
          </w:tcPr>
          <w:p w14:paraId="79431E94" w14:textId="77777777" w:rsidR="00EC4F2F" w:rsidRPr="003F03B2" w:rsidRDefault="00F202E2"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91.1</w:t>
            </w:r>
            <w:r w:rsidR="00EC4F2F" w:rsidRPr="003F03B2">
              <w:rPr>
                <w:rFonts w:ascii="Microsoft Sans Serif" w:eastAsia="Times New Roman" w:hAnsi="Microsoft Sans Serif" w:cs="Microsoft Sans Serif"/>
                <w:sz w:val="20"/>
                <w:szCs w:val="20"/>
                <w:lang w:val="en-CA" w:eastAsia="en-CA"/>
              </w:rPr>
              <w:t>%</w:t>
            </w:r>
          </w:p>
        </w:tc>
        <w:tc>
          <w:tcPr>
            <w:tcW w:w="598" w:type="pct"/>
            <w:noWrap/>
            <w:vAlign w:val="center"/>
          </w:tcPr>
          <w:p w14:paraId="1EF909EE" w14:textId="77777777" w:rsidR="00EC4F2F" w:rsidRPr="003F03B2" w:rsidRDefault="00F202E2"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8.6</w:t>
            </w:r>
            <w:r w:rsidR="00EC4F2F" w:rsidRPr="003F03B2">
              <w:rPr>
                <w:rFonts w:ascii="Microsoft Sans Serif" w:eastAsia="Times New Roman" w:hAnsi="Microsoft Sans Serif" w:cs="Microsoft Sans Serif"/>
                <w:sz w:val="20"/>
                <w:szCs w:val="20"/>
                <w:lang w:val="en-CA" w:eastAsia="en-CA"/>
              </w:rPr>
              <w:t>%</w:t>
            </w:r>
          </w:p>
        </w:tc>
        <w:tc>
          <w:tcPr>
            <w:tcW w:w="802" w:type="pct"/>
            <w:noWrap/>
            <w:vAlign w:val="center"/>
          </w:tcPr>
          <w:p w14:paraId="52FEB42B" w14:textId="77777777" w:rsidR="00EC4F2F" w:rsidRPr="003F03B2" w:rsidRDefault="00F202E2"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0.3</w:t>
            </w:r>
            <w:r w:rsidR="00EC4F2F" w:rsidRPr="003F03B2">
              <w:rPr>
                <w:rFonts w:ascii="Microsoft Sans Serif" w:eastAsia="Times New Roman" w:hAnsi="Microsoft Sans Serif" w:cs="Microsoft Sans Serif"/>
                <w:sz w:val="20"/>
                <w:szCs w:val="20"/>
                <w:lang w:val="en-CA" w:eastAsia="en-CA"/>
              </w:rPr>
              <w:t>%</w:t>
            </w:r>
          </w:p>
        </w:tc>
        <w:tc>
          <w:tcPr>
            <w:tcW w:w="598" w:type="pct"/>
            <w:noWrap/>
            <w:vAlign w:val="center"/>
          </w:tcPr>
          <w:p w14:paraId="1052C51E" w14:textId="77777777" w:rsidR="00EC4F2F" w:rsidRPr="003F03B2" w:rsidRDefault="00F202E2"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w:t>
            </w:r>
          </w:p>
        </w:tc>
        <w:tc>
          <w:tcPr>
            <w:tcW w:w="598" w:type="pct"/>
            <w:noWrap/>
            <w:vAlign w:val="center"/>
          </w:tcPr>
          <w:p w14:paraId="5260CE2A" w14:textId="77777777" w:rsidR="00EC4F2F" w:rsidRPr="003F03B2" w:rsidRDefault="00F202E2"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w:t>
            </w:r>
          </w:p>
        </w:tc>
      </w:tr>
    </w:tbl>
    <w:p w14:paraId="20476382" w14:textId="77777777" w:rsidR="00EC4F2F" w:rsidRDefault="00EC4F2F" w:rsidP="00EC4F2F">
      <w:pPr>
        <w:spacing w:line="360" w:lineRule="auto"/>
      </w:pPr>
    </w:p>
    <w:p w14:paraId="6DC129AC" w14:textId="77777777" w:rsidR="00EC4F2F" w:rsidRDefault="00EC4F2F" w:rsidP="00EC4F2F">
      <w:pPr>
        <w:spacing w:line="360" w:lineRule="auto"/>
      </w:pPr>
      <w:r w:rsidRPr="00135364">
        <w:rPr>
          <w:i/>
        </w:rPr>
        <w:t xml:space="preserve">Table </w:t>
      </w:r>
      <w:r>
        <w:rPr>
          <w:i/>
        </w:rPr>
        <w:t>14d</w:t>
      </w:r>
      <w:r w:rsidRPr="00135364">
        <w:rPr>
          <w:i/>
        </w:rPr>
        <w:t xml:space="preserve">. </w:t>
      </w:r>
      <w:r>
        <w:rPr>
          <w:i/>
        </w:rPr>
        <w:t xml:space="preserve">Over the past two years have often have you– Aboriginal Government </w:t>
      </w:r>
    </w:p>
    <w:tbl>
      <w:tblPr>
        <w:tblStyle w:val="Tableausimple1"/>
        <w:tblW w:w="5000" w:type="pct"/>
        <w:tblLook w:val="04A0" w:firstRow="1" w:lastRow="0" w:firstColumn="1" w:lastColumn="0" w:noHBand="0" w:noVBand="1"/>
      </w:tblPr>
      <w:tblGrid>
        <w:gridCol w:w="3199"/>
        <w:gridCol w:w="1059"/>
        <w:gridCol w:w="1059"/>
        <w:gridCol w:w="1421"/>
        <w:gridCol w:w="1059"/>
        <w:gridCol w:w="1059"/>
      </w:tblGrid>
      <w:tr w:rsidR="00FA5F3F" w:rsidRPr="00724F47" w14:paraId="5A37AE11" w14:textId="77777777">
        <w:trPr>
          <w:cnfStyle w:val="100000000000" w:firstRow="1" w:lastRow="0" w:firstColumn="0" w:lastColumn="0" w:oddVBand="0" w:evenVBand="0" w:oddHBand="0" w:evenHBand="0" w:firstRowFirstColumn="0" w:firstRowLastColumn="0" w:lastRowFirstColumn="0" w:lastRowLastColumn="0"/>
          <w:trHeight w:val="821"/>
        </w:trPr>
        <w:tc>
          <w:tcPr>
            <w:tcW w:w="1806" w:type="pct"/>
            <w:noWrap/>
          </w:tcPr>
          <w:p w14:paraId="26689536" w14:textId="77777777" w:rsidR="00FA5F3F" w:rsidRPr="00724F47" w:rsidRDefault="00FA5F3F" w:rsidP="003B60EF">
            <w:pPr>
              <w:rPr>
                <w:rFonts w:ascii="Microsoft Sans Serif" w:eastAsia="Times New Roman" w:hAnsi="Microsoft Sans Serif" w:cs="Microsoft Sans Serif"/>
                <w:sz w:val="16"/>
                <w:szCs w:val="16"/>
                <w:lang w:val="en-CA" w:eastAsia="en-CA"/>
              </w:rPr>
            </w:pPr>
          </w:p>
        </w:tc>
        <w:tc>
          <w:tcPr>
            <w:tcW w:w="598" w:type="pct"/>
          </w:tcPr>
          <w:p w14:paraId="1530F77C" w14:textId="77777777" w:rsidR="00FA5F3F" w:rsidRPr="00724F47" w:rsidRDefault="00FA5F3F" w:rsidP="003B60EF">
            <w:pPr>
              <w:jc w:val="center"/>
              <w:rPr>
                <w:rFonts w:ascii="Microsoft Sans Serif" w:eastAsia="Times New Roman" w:hAnsi="Microsoft Sans Serif" w:cs="Microsoft Sans Serif"/>
                <w:b/>
                <w:bCs/>
                <w:sz w:val="18"/>
                <w:szCs w:val="18"/>
                <w:lang w:val="en-CA" w:eastAsia="en-CA"/>
              </w:rPr>
            </w:pPr>
            <w:r w:rsidRPr="00724F47">
              <w:rPr>
                <w:rFonts w:ascii="Microsoft Sans Serif" w:eastAsia="Times New Roman" w:hAnsi="Microsoft Sans Serif" w:cs="Microsoft Sans Serif"/>
                <w:b/>
                <w:bCs/>
                <w:sz w:val="18"/>
                <w:szCs w:val="18"/>
                <w:lang w:val="en-CA" w:eastAsia="en-CA"/>
              </w:rPr>
              <w:t xml:space="preserve">Never </w:t>
            </w:r>
          </w:p>
        </w:tc>
        <w:tc>
          <w:tcPr>
            <w:tcW w:w="598" w:type="pct"/>
          </w:tcPr>
          <w:p w14:paraId="129312BC" w14:textId="77777777" w:rsidR="00FA5F3F" w:rsidRPr="00724F47" w:rsidRDefault="00FA5F3F" w:rsidP="003B60EF">
            <w:pPr>
              <w:jc w:val="center"/>
              <w:rPr>
                <w:rFonts w:ascii="Microsoft Sans Serif" w:eastAsia="Times New Roman" w:hAnsi="Microsoft Sans Serif" w:cs="Microsoft Sans Serif"/>
                <w:b/>
                <w:bCs/>
                <w:sz w:val="16"/>
                <w:szCs w:val="16"/>
                <w:lang w:val="en-CA" w:eastAsia="en-CA"/>
              </w:rPr>
            </w:pPr>
            <w:r w:rsidRPr="00724F47">
              <w:rPr>
                <w:rFonts w:ascii="Microsoft Sans Serif" w:eastAsia="Times New Roman" w:hAnsi="Microsoft Sans Serif" w:cs="Microsoft Sans Serif"/>
                <w:b/>
                <w:bCs/>
                <w:sz w:val="18"/>
                <w:szCs w:val="18"/>
                <w:lang w:val="en-CA" w:eastAsia="en-CA"/>
              </w:rPr>
              <w:t>Seldom</w:t>
            </w:r>
            <w:r w:rsidRPr="00724F47">
              <w:rPr>
                <w:rFonts w:ascii="Microsoft Sans Serif" w:eastAsia="Times New Roman" w:hAnsi="Microsoft Sans Serif" w:cs="Microsoft Sans Serif"/>
                <w:b/>
                <w:bCs/>
                <w:sz w:val="16"/>
                <w:szCs w:val="16"/>
                <w:lang w:val="en-CA" w:eastAsia="en-CA"/>
              </w:rPr>
              <w:t xml:space="preserve"> </w:t>
            </w:r>
            <w:r w:rsidRPr="00FA5F3F">
              <w:rPr>
                <w:rFonts w:ascii="Microsoft Sans Serif" w:eastAsia="Times New Roman" w:hAnsi="Microsoft Sans Serif" w:cs="Microsoft Sans Serif"/>
                <w:b/>
                <w:bCs/>
                <w:sz w:val="12"/>
                <w:szCs w:val="16"/>
                <w:lang w:val="en-CA" w:eastAsia="en-CA"/>
              </w:rPr>
              <w:t>(not more than twice per year)</w:t>
            </w:r>
          </w:p>
        </w:tc>
        <w:tc>
          <w:tcPr>
            <w:tcW w:w="802" w:type="pct"/>
          </w:tcPr>
          <w:p w14:paraId="2F42831A" w14:textId="77777777" w:rsidR="00FA5F3F" w:rsidRPr="00724F47" w:rsidRDefault="00FA5F3F" w:rsidP="003B60EF">
            <w:pPr>
              <w:jc w:val="center"/>
              <w:rPr>
                <w:rFonts w:ascii="Microsoft Sans Serif" w:eastAsia="Times New Roman" w:hAnsi="Microsoft Sans Serif" w:cs="Microsoft Sans Serif"/>
                <w:b/>
                <w:bCs/>
                <w:sz w:val="16"/>
                <w:szCs w:val="16"/>
                <w:lang w:val="en-CA" w:eastAsia="en-CA"/>
              </w:rPr>
            </w:pPr>
            <w:r w:rsidRPr="00724F47">
              <w:rPr>
                <w:rFonts w:ascii="Microsoft Sans Serif" w:eastAsia="Times New Roman" w:hAnsi="Microsoft Sans Serif" w:cs="Microsoft Sans Serif"/>
                <w:b/>
                <w:bCs/>
                <w:sz w:val="18"/>
                <w:szCs w:val="18"/>
                <w:lang w:val="en-CA" w:eastAsia="en-CA"/>
              </w:rPr>
              <w:t>Occasionally</w:t>
            </w:r>
            <w:r w:rsidRPr="00724F47">
              <w:rPr>
                <w:rFonts w:ascii="Microsoft Sans Serif" w:eastAsia="Times New Roman" w:hAnsi="Microsoft Sans Serif" w:cs="Microsoft Sans Serif"/>
                <w:b/>
                <w:bCs/>
                <w:sz w:val="16"/>
                <w:szCs w:val="16"/>
                <w:lang w:val="en-CA" w:eastAsia="en-CA"/>
              </w:rPr>
              <w:t xml:space="preserve"> </w:t>
            </w:r>
            <w:r w:rsidRPr="00FA5F3F">
              <w:rPr>
                <w:rFonts w:ascii="Microsoft Sans Serif" w:eastAsia="Times New Roman" w:hAnsi="Microsoft Sans Serif" w:cs="Microsoft Sans Serif"/>
                <w:b/>
                <w:bCs/>
                <w:sz w:val="12"/>
                <w:szCs w:val="16"/>
                <w:lang w:val="en-CA" w:eastAsia="en-CA"/>
              </w:rPr>
              <w:t>(at least every three months)</w:t>
            </w:r>
          </w:p>
        </w:tc>
        <w:tc>
          <w:tcPr>
            <w:tcW w:w="598" w:type="pct"/>
          </w:tcPr>
          <w:p w14:paraId="25AC36E4" w14:textId="77777777" w:rsidR="00FA5F3F" w:rsidRDefault="00FA5F3F" w:rsidP="003B60EF">
            <w:pPr>
              <w:jc w:val="center"/>
              <w:rPr>
                <w:rFonts w:ascii="Microsoft Sans Serif" w:eastAsia="Times New Roman" w:hAnsi="Microsoft Sans Serif" w:cs="Microsoft Sans Serif"/>
                <w:b/>
                <w:bCs/>
                <w:sz w:val="16"/>
                <w:szCs w:val="16"/>
                <w:lang w:val="en-CA" w:eastAsia="en-CA"/>
              </w:rPr>
            </w:pPr>
            <w:r w:rsidRPr="00724F47">
              <w:rPr>
                <w:rFonts w:ascii="Microsoft Sans Serif" w:eastAsia="Times New Roman" w:hAnsi="Microsoft Sans Serif" w:cs="Microsoft Sans Serif"/>
                <w:b/>
                <w:bCs/>
                <w:sz w:val="18"/>
                <w:szCs w:val="18"/>
                <w:lang w:val="en-CA" w:eastAsia="en-CA"/>
              </w:rPr>
              <w:t>Often</w:t>
            </w:r>
            <w:r w:rsidRPr="00724F47">
              <w:rPr>
                <w:rFonts w:ascii="Microsoft Sans Serif" w:eastAsia="Times New Roman" w:hAnsi="Microsoft Sans Serif" w:cs="Microsoft Sans Serif"/>
                <w:b/>
                <w:bCs/>
                <w:sz w:val="16"/>
                <w:szCs w:val="16"/>
                <w:lang w:val="en-CA" w:eastAsia="en-CA"/>
              </w:rPr>
              <w:t xml:space="preserve"> </w:t>
            </w:r>
          </w:p>
          <w:p w14:paraId="5AC29661" w14:textId="77777777" w:rsidR="00FA5F3F" w:rsidRPr="00FA5F3F" w:rsidRDefault="00FA5F3F" w:rsidP="003B60EF">
            <w:pPr>
              <w:jc w:val="center"/>
              <w:rPr>
                <w:rFonts w:ascii="Microsoft Sans Serif" w:eastAsia="Times New Roman" w:hAnsi="Microsoft Sans Serif" w:cs="Microsoft Sans Serif"/>
                <w:b/>
                <w:bCs/>
                <w:sz w:val="12"/>
                <w:szCs w:val="16"/>
                <w:lang w:val="en-CA" w:eastAsia="en-CA"/>
              </w:rPr>
            </w:pPr>
            <w:r w:rsidRPr="00FA5F3F">
              <w:rPr>
                <w:rFonts w:ascii="Microsoft Sans Serif" w:eastAsia="Times New Roman" w:hAnsi="Microsoft Sans Serif" w:cs="Microsoft Sans Serif"/>
                <w:b/>
                <w:bCs/>
                <w:sz w:val="12"/>
                <w:szCs w:val="16"/>
                <w:lang w:val="en-CA" w:eastAsia="en-CA"/>
              </w:rPr>
              <w:t>(at least every month)</w:t>
            </w:r>
          </w:p>
        </w:tc>
        <w:tc>
          <w:tcPr>
            <w:tcW w:w="598" w:type="pct"/>
          </w:tcPr>
          <w:p w14:paraId="760FE100" w14:textId="77777777" w:rsidR="00FA5F3F" w:rsidRPr="00724F47" w:rsidRDefault="00FA5F3F" w:rsidP="00FA5F3F">
            <w:pPr>
              <w:jc w:val="center"/>
              <w:rPr>
                <w:rFonts w:ascii="Microsoft Sans Serif" w:eastAsia="Times New Roman" w:hAnsi="Microsoft Sans Serif" w:cs="Microsoft Sans Serif"/>
                <w:b/>
                <w:bCs/>
                <w:sz w:val="16"/>
                <w:szCs w:val="16"/>
                <w:lang w:val="en-CA" w:eastAsia="en-CA"/>
              </w:rPr>
            </w:pPr>
            <w:r w:rsidRPr="00724F47">
              <w:rPr>
                <w:rFonts w:ascii="Microsoft Sans Serif" w:eastAsia="Times New Roman" w:hAnsi="Microsoft Sans Serif" w:cs="Microsoft Sans Serif"/>
                <w:b/>
                <w:bCs/>
                <w:sz w:val="18"/>
                <w:szCs w:val="18"/>
                <w:lang w:val="en-CA" w:eastAsia="en-CA"/>
              </w:rPr>
              <w:t>Very Often</w:t>
            </w:r>
            <w:r w:rsidRPr="00724F47">
              <w:rPr>
                <w:rFonts w:ascii="Microsoft Sans Serif" w:eastAsia="Times New Roman" w:hAnsi="Microsoft Sans Serif" w:cs="Microsoft Sans Serif"/>
                <w:b/>
                <w:bCs/>
                <w:sz w:val="16"/>
                <w:szCs w:val="16"/>
                <w:lang w:val="en-CA" w:eastAsia="en-CA"/>
              </w:rPr>
              <w:t xml:space="preserve"> </w:t>
            </w:r>
            <w:r w:rsidRPr="00FA5F3F">
              <w:rPr>
                <w:rFonts w:ascii="Microsoft Sans Serif" w:eastAsia="Times New Roman" w:hAnsi="Microsoft Sans Serif" w:cs="Microsoft Sans Serif"/>
                <w:b/>
                <w:bCs/>
                <w:sz w:val="12"/>
                <w:szCs w:val="16"/>
                <w:lang w:val="en-CA" w:eastAsia="en-CA"/>
              </w:rPr>
              <w:t>(more than twice per month</w:t>
            </w:r>
            <w:r w:rsidRPr="00724F47">
              <w:rPr>
                <w:rFonts w:ascii="Microsoft Sans Serif" w:eastAsia="Times New Roman" w:hAnsi="Microsoft Sans Serif" w:cs="Microsoft Sans Serif"/>
                <w:b/>
                <w:bCs/>
                <w:sz w:val="16"/>
                <w:szCs w:val="16"/>
                <w:lang w:val="en-CA" w:eastAsia="en-CA"/>
              </w:rPr>
              <w:t>)</w:t>
            </w:r>
          </w:p>
        </w:tc>
      </w:tr>
      <w:tr w:rsidR="00EC4F2F" w:rsidRPr="00724F47" w14:paraId="25E85C90" w14:textId="77777777">
        <w:trPr>
          <w:trHeight w:val="509"/>
        </w:trPr>
        <w:tc>
          <w:tcPr>
            <w:tcW w:w="1806" w:type="pct"/>
            <w:vAlign w:val="center"/>
          </w:tcPr>
          <w:p w14:paraId="251D9FC3" w14:textId="77777777" w:rsidR="00EC4F2F" w:rsidRPr="00724F47" w:rsidRDefault="002215DD" w:rsidP="00866BDF">
            <w:pP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Bid on a competitive c</w:t>
            </w:r>
            <w:r w:rsidR="00EC4F2F">
              <w:rPr>
                <w:rFonts w:ascii="Microsoft Sans Serif" w:eastAsia="Times New Roman" w:hAnsi="Microsoft Sans Serif" w:cs="Microsoft Sans Serif"/>
                <w:sz w:val="18"/>
                <w:szCs w:val="18"/>
                <w:lang w:val="en-CA" w:eastAsia="en-CA"/>
              </w:rPr>
              <w:t>ontract</w:t>
            </w:r>
          </w:p>
        </w:tc>
        <w:tc>
          <w:tcPr>
            <w:tcW w:w="598" w:type="pct"/>
            <w:noWrap/>
            <w:vAlign w:val="center"/>
          </w:tcPr>
          <w:p w14:paraId="7C86D0A8" w14:textId="77777777" w:rsidR="00EC4F2F" w:rsidRPr="003F03B2" w:rsidRDefault="004C34E0"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96.4</w:t>
            </w:r>
            <w:r w:rsidR="00EC4F2F" w:rsidRPr="003F03B2">
              <w:rPr>
                <w:rFonts w:ascii="Microsoft Sans Serif" w:eastAsia="Times New Roman" w:hAnsi="Microsoft Sans Serif" w:cs="Microsoft Sans Serif"/>
                <w:sz w:val="20"/>
                <w:szCs w:val="20"/>
                <w:lang w:val="en-CA" w:eastAsia="en-CA"/>
              </w:rPr>
              <w:t>%</w:t>
            </w:r>
          </w:p>
        </w:tc>
        <w:tc>
          <w:tcPr>
            <w:tcW w:w="598" w:type="pct"/>
            <w:noWrap/>
            <w:vAlign w:val="center"/>
          </w:tcPr>
          <w:p w14:paraId="5AFFAE8C" w14:textId="77777777" w:rsidR="00EC4F2F" w:rsidRPr="003F03B2" w:rsidRDefault="004C34E0"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3.0</w:t>
            </w:r>
            <w:r w:rsidR="00EC4F2F" w:rsidRPr="003F03B2">
              <w:rPr>
                <w:rFonts w:ascii="Microsoft Sans Serif" w:eastAsia="Times New Roman" w:hAnsi="Microsoft Sans Serif" w:cs="Microsoft Sans Serif"/>
                <w:sz w:val="20"/>
                <w:szCs w:val="20"/>
                <w:lang w:val="en-CA" w:eastAsia="en-CA"/>
              </w:rPr>
              <w:t>%</w:t>
            </w:r>
          </w:p>
        </w:tc>
        <w:tc>
          <w:tcPr>
            <w:tcW w:w="802" w:type="pct"/>
            <w:noWrap/>
            <w:vAlign w:val="center"/>
          </w:tcPr>
          <w:p w14:paraId="1DD811E5" w14:textId="77777777" w:rsidR="00EC4F2F" w:rsidRPr="003F03B2" w:rsidRDefault="004C34E0"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0.6</w:t>
            </w:r>
            <w:r w:rsidR="00EC4F2F" w:rsidRPr="003F03B2">
              <w:rPr>
                <w:rFonts w:ascii="Microsoft Sans Serif" w:eastAsia="Times New Roman" w:hAnsi="Microsoft Sans Serif" w:cs="Microsoft Sans Serif"/>
                <w:sz w:val="20"/>
                <w:szCs w:val="20"/>
                <w:lang w:val="en-CA" w:eastAsia="en-CA"/>
              </w:rPr>
              <w:t>%</w:t>
            </w:r>
          </w:p>
        </w:tc>
        <w:tc>
          <w:tcPr>
            <w:tcW w:w="598" w:type="pct"/>
            <w:noWrap/>
            <w:vAlign w:val="center"/>
          </w:tcPr>
          <w:p w14:paraId="05333A4A" w14:textId="77777777" w:rsidR="00EC4F2F" w:rsidRPr="003F03B2" w:rsidRDefault="004C34E0"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w:t>
            </w:r>
          </w:p>
        </w:tc>
        <w:tc>
          <w:tcPr>
            <w:tcW w:w="598" w:type="pct"/>
            <w:noWrap/>
            <w:vAlign w:val="center"/>
          </w:tcPr>
          <w:p w14:paraId="194FCFEC" w14:textId="77777777" w:rsidR="00EC4F2F" w:rsidRPr="003F03B2" w:rsidRDefault="004C34E0"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w:t>
            </w:r>
          </w:p>
        </w:tc>
      </w:tr>
      <w:tr w:rsidR="00EC4F2F" w:rsidRPr="00724F47" w14:paraId="2EF0F7D8" w14:textId="77777777">
        <w:trPr>
          <w:trHeight w:val="420"/>
        </w:trPr>
        <w:tc>
          <w:tcPr>
            <w:tcW w:w="1806" w:type="pct"/>
            <w:vAlign w:val="center"/>
          </w:tcPr>
          <w:p w14:paraId="5E33D342" w14:textId="77777777" w:rsidR="00EC4F2F" w:rsidRPr="00724F47" w:rsidRDefault="00EC4F2F" w:rsidP="00866BDF">
            <w:pP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Been selected for a sole source contract</w:t>
            </w:r>
          </w:p>
        </w:tc>
        <w:tc>
          <w:tcPr>
            <w:tcW w:w="598" w:type="pct"/>
            <w:noWrap/>
            <w:vAlign w:val="center"/>
          </w:tcPr>
          <w:p w14:paraId="053C67BE" w14:textId="77777777" w:rsidR="00EC4F2F" w:rsidRPr="003F03B2" w:rsidRDefault="004C34E0"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95.1</w:t>
            </w:r>
            <w:r w:rsidR="00EC4F2F" w:rsidRPr="003F03B2">
              <w:rPr>
                <w:rFonts w:ascii="Microsoft Sans Serif" w:eastAsia="Times New Roman" w:hAnsi="Microsoft Sans Serif" w:cs="Microsoft Sans Serif"/>
                <w:sz w:val="20"/>
                <w:szCs w:val="20"/>
                <w:lang w:val="en-CA" w:eastAsia="en-CA"/>
              </w:rPr>
              <w:t>%</w:t>
            </w:r>
          </w:p>
        </w:tc>
        <w:tc>
          <w:tcPr>
            <w:tcW w:w="598" w:type="pct"/>
            <w:noWrap/>
            <w:vAlign w:val="center"/>
          </w:tcPr>
          <w:p w14:paraId="7964928D" w14:textId="77777777" w:rsidR="00EC4F2F" w:rsidRPr="003F03B2" w:rsidRDefault="004C34E0"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3.7</w:t>
            </w:r>
            <w:r w:rsidR="00EC4F2F" w:rsidRPr="003F03B2">
              <w:rPr>
                <w:rFonts w:ascii="Microsoft Sans Serif" w:eastAsia="Times New Roman" w:hAnsi="Microsoft Sans Serif" w:cs="Microsoft Sans Serif"/>
                <w:sz w:val="20"/>
                <w:szCs w:val="20"/>
                <w:lang w:val="en-CA" w:eastAsia="en-CA"/>
              </w:rPr>
              <w:t>%</w:t>
            </w:r>
          </w:p>
        </w:tc>
        <w:tc>
          <w:tcPr>
            <w:tcW w:w="802" w:type="pct"/>
            <w:noWrap/>
            <w:vAlign w:val="center"/>
          </w:tcPr>
          <w:p w14:paraId="225723B6" w14:textId="77777777" w:rsidR="00EC4F2F" w:rsidRPr="003F03B2" w:rsidRDefault="004C34E0"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0.9</w:t>
            </w:r>
            <w:r w:rsidR="00EC4F2F" w:rsidRPr="003F03B2">
              <w:rPr>
                <w:rFonts w:ascii="Microsoft Sans Serif" w:eastAsia="Times New Roman" w:hAnsi="Microsoft Sans Serif" w:cs="Microsoft Sans Serif"/>
                <w:sz w:val="20"/>
                <w:szCs w:val="20"/>
                <w:lang w:val="en-CA" w:eastAsia="en-CA"/>
              </w:rPr>
              <w:t>%</w:t>
            </w:r>
          </w:p>
        </w:tc>
        <w:tc>
          <w:tcPr>
            <w:tcW w:w="598" w:type="pct"/>
            <w:noWrap/>
            <w:vAlign w:val="center"/>
          </w:tcPr>
          <w:p w14:paraId="0401B398" w14:textId="77777777" w:rsidR="00EC4F2F" w:rsidRPr="003F03B2" w:rsidRDefault="004C34E0"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0/3</w:t>
            </w:r>
            <w:r w:rsidR="00EC4F2F" w:rsidRPr="003F03B2">
              <w:rPr>
                <w:rFonts w:ascii="Microsoft Sans Serif" w:eastAsia="Times New Roman" w:hAnsi="Microsoft Sans Serif" w:cs="Microsoft Sans Serif"/>
                <w:sz w:val="20"/>
                <w:szCs w:val="20"/>
                <w:lang w:val="en-CA" w:eastAsia="en-CA"/>
              </w:rPr>
              <w:t>%</w:t>
            </w:r>
          </w:p>
        </w:tc>
        <w:tc>
          <w:tcPr>
            <w:tcW w:w="598" w:type="pct"/>
            <w:noWrap/>
            <w:vAlign w:val="center"/>
          </w:tcPr>
          <w:p w14:paraId="505383B8" w14:textId="77777777" w:rsidR="00EC4F2F" w:rsidRPr="003F03B2" w:rsidRDefault="004C34E0"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w:t>
            </w:r>
          </w:p>
        </w:tc>
      </w:tr>
      <w:tr w:rsidR="00EC4F2F" w:rsidRPr="00724F47" w14:paraId="254C9949" w14:textId="77777777">
        <w:trPr>
          <w:trHeight w:val="428"/>
        </w:trPr>
        <w:tc>
          <w:tcPr>
            <w:tcW w:w="1806" w:type="pct"/>
            <w:vAlign w:val="center"/>
          </w:tcPr>
          <w:p w14:paraId="6D60F6AD" w14:textId="77777777" w:rsidR="00EC4F2F" w:rsidRPr="00724F47" w:rsidRDefault="00EC4F2F" w:rsidP="00866BDF">
            <w:pPr>
              <w:rPr>
                <w:rFonts w:ascii="Microsoft Sans Serif" w:eastAsia="Times New Roman" w:hAnsi="Microsoft Sans Serif" w:cs="Microsoft Sans Serif"/>
                <w:sz w:val="18"/>
                <w:szCs w:val="18"/>
                <w:lang w:val="en-CA" w:eastAsia="en-CA"/>
              </w:rPr>
            </w:pPr>
            <w:r>
              <w:rPr>
                <w:rFonts w:ascii="Microsoft Sans Serif" w:eastAsia="Times New Roman" w:hAnsi="Microsoft Sans Serif" w:cs="Microsoft Sans Serif"/>
                <w:sz w:val="18"/>
                <w:szCs w:val="18"/>
                <w:lang w:val="en-CA" w:eastAsia="en-CA"/>
              </w:rPr>
              <w:t>Provided policy analysis</w:t>
            </w:r>
          </w:p>
        </w:tc>
        <w:tc>
          <w:tcPr>
            <w:tcW w:w="598" w:type="pct"/>
            <w:noWrap/>
            <w:vAlign w:val="center"/>
          </w:tcPr>
          <w:p w14:paraId="3BE4498D" w14:textId="77777777" w:rsidR="00EC4F2F" w:rsidRPr="003F03B2" w:rsidRDefault="00F202E2"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95.1</w:t>
            </w:r>
            <w:r w:rsidR="00EC4F2F" w:rsidRPr="003F03B2">
              <w:rPr>
                <w:rFonts w:ascii="Microsoft Sans Serif" w:eastAsia="Times New Roman" w:hAnsi="Microsoft Sans Serif" w:cs="Microsoft Sans Serif"/>
                <w:sz w:val="20"/>
                <w:szCs w:val="20"/>
                <w:lang w:val="en-CA" w:eastAsia="en-CA"/>
              </w:rPr>
              <w:t>%</w:t>
            </w:r>
          </w:p>
        </w:tc>
        <w:tc>
          <w:tcPr>
            <w:tcW w:w="598" w:type="pct"/>
            <w:noWrap/>
            <w:vAlign w:val="center"/>
          </w:tcPr>
          <w:p w14:paraId="3FE6860E" w14:textId="77777777" w:rsidR="00EC4F2F" w:rsidRPr="003F03B2" w:rsidRDefault="00F202E2"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4.3</w:t>
            </w:r>
            <w:r w:rsidR="00EC4F2F" w:rsidRPr="003F03B2">
              <w:rPr>
                <w:rFonts w:ascii="Microsoft Sans Serif" w:eastAsia="Times New Roman" w:hAnsi="Microsoft Sans Serif" w:cs="Microsoft Sans Serif"/>
                <w:sz w:val="20"/>
                <w:szCs w:val="20"/>
                <w:lang w:val="en-CA" w:eastAsia="en-CA"/>
              </w:rPr>
              <w:t>%</w:t>
            </w:r>
          </w:p>
        </w:tc>
        <w:tc>
          <w:tcPr>
            <w:tcW w:w="802" w:type="pct"/>
            <w:noWrap/>
            <w:vAlign w:val="center"/>
          </w:tcPr>
          <w:p w14:paraId="09B1AD24" w14:textId="77777777" w:rsidR="00EC4F2F" w:rsidRPr="003F03B2" w:rsidRDefault="00F202E2"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0.3</w:t>
            </w:r>
            <w:r w:rsidR="00EC4F2F" w:rsidRPr="003F03B2">
              <w:rPr>
                <w:rFonts w:ascii="Microsoft Sans Serif" w:eastAsia="Times New Roman" w:hAnsi="Microsoft Sans Serif" w:cs="Microsoft Sans Serif"/>
                <w:sz w:val="20"/>
                <w:szCs w:val="20"/>
                <w:lang w:val="en-CA" w:eastAsia="en-CA"/>
              </w:rPr>
              <w:t>%</w:t>
            </w:r>
          </w:p>
        </w:tc>
        <w:tc>
          <w:tcPr>
            <w:tcW w:w="598" w:type="pct"/>
            <w:noWrap/>
            <w:vAlign w:val="center"/>
          </w:tcPr>
          <w:p w14:paraId="004C00B2" w14:textId="77777777" w:rsidR="00EC4F2F" w:rsidRPr="003F03B2" w:rsidRDefault="00F202E2"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0.3</w:t>
            </w:r>
            <w:r w:rsidR="00EC4F2F" w:rsidRPr="003F03B2">
              <w:rPr>
                <w:rFonts w:ascii="Microsoft Sans Serif" w:eastAsia="Times New Roman" w:hAnsi="Microsoft Sans Serif" w:cs="Microsoft Sans Serif"/>
                <w:sz w:val="20"/>
                <w:szCs w:val="20"/>
                <w:lang w:val="en-CA" w:eastAsia="en-CA"/>
              </w:rPr>
              <w:t>%</w:t>
            </w:r>
          </w:p>
        </w:tc>
        <w:tc>
          <w:tcPr>
            <w:tcW w:w="598" w:type="pct"/>
            <w:noWrap/>
            <w:vAlign w:val="center"/>
          </w:tcPr>
          <w:p w14:paraId="7EC34C21" w14:textId="77777777" w:rsidR="00EC4F2F" w:rsidRPr="003F03B2" w:rsidRDefault="00F202E2" w:rsidP="003B60EF">
            <w:pPr>
              <w:jc w:val="center"/>
              <w:rPr>
                <w:rFonts w:ascii="Microsoft Sans Serif" w:eastAsia="Times New Roman" w:hAnsi="Microsoft Sans Serif" w:cs="Microsoft Sans Serif"/>
                <w:sz w:val="20"/>
                <w:szCs w:val="20"/>
                <w:lang w:val="en-CA" w:eastAsia="en-CA"/>
              </w:rPr>
            </w:pPr>
            <w:r>
              <w:rPr>
                <w:rFonts w:ascii="Microsoft Sans Serif" w:eastAsia="Times New Roman" w:hAnsi="Microsoft Sans Serif" w:cs="Microsoft Sans Serif"/>
                <w:sz w:val="20"/>
                <w:szCs w:val="20"/>
                <w:lang w:val="en-CA" w:eastAsia="en-CA"/>
              </w:rPr>
              <w:t>-</w:t>
            </w:r>
          </w:p>
        </w:tc>
      </w:tr>
    </w:tbl>
    <w:p w14:paraId="06A13ACC" w14:textId="77777777" w:rsidR="00EC4F2F" w:rsidRDefault="00EC4F2F" w:rsidP="00EC4F2F">
      <w:pPr>
        <w:spacing w:line="360" w:lineRule="auto"/>
      </w:pPr>
    </w:p>
    <w:p w14:paraId="72595D34" w14:textId="77777777" w:rsidR="003B60EF" w:rsidRDefault="003B60EF" w:rsidP="00327849">
      <w:pPr>
        <w:spacing w:line="360" w:lineRule="auto"/>
      </w:pPr>
    </w:p>
    <w:p w14:paraId="69597D76" w14:textId="77777777" w:rsidR="003B60EF" w:rsidRDefault="003B60EF" w:rsidP="00327849">
      <w:pPr>
        <w:spacing w:line="360" w:lineRule="auto"/>
      </w:pPr>
    </w:p>
    <w:p w14:paraId="292F1586" w14:textId="77777777" w:rsidR="003B60EF" w:rsidRPr="003F03B2" w:rsidRDefault="003F03B2" w:rsidP="00327849">
      <w:pPr>
        <w:spacing w:line="360" w:lineRule="auto"/>
        <w:rPr>
          <w:b/>
        </w:rPr>
      </w:pPr>
      <w:r>
        <w:rPr>
          <w:b/>
        </w:rPr>
        <w:t>Conclusions</w:t>
      </w:r>
    </w:p>
    <w:p w14:paraId="0E59809D" w14:textId="77777777" w:rsidR="00D01530" w:rsidRDefault="00D01530" w:rsidP="00327849">
      <w:pPr>
        <w:spacing w:line="360" w:lineRule="auto"/>
      </w:pPr>
    </w:p>
    <w:p w14:paraId="1AA7ACBA" w14:textId="77777777" w:rsidR="00D01530" w:rsidRDefault="00D01530" w:rsidP="00327849">
      <w:pPr>
        <w:spacing w:line="360" w:lineRule="auto"/>
      </w:pPr>
      <w:r>
        <w:t xml:space="preserve">A very important part of the engagement between our subset of academics (Public Policy, Public Administration and Political Science) falls in the more informal area. In practice, this means that participation in networks and the offering/request of informal advice are the most frequent areas of interaction between these communities. </w:t>
      </w:r>
    </w:p>
    <w:p w14:paraId="2D9A1D0F" w14:textId="77777777" w:rsidR="00D01530" w:rsidRDefault="00D01530" w:rsidP="00327849">
      <w:pPr>
        <w:spacing w:line="360" w:lineRule="auto"/>
      </w:pPr>
    </w:p>
    <w:p w14:paraId="0C5998DA" w14:textId="77777777" w:rsidR="00A75E3B" w:rsidRDefault="00A75E3B" w:rsidP="00327849">
      <w:pPr>
        <w:spacing w:line="360" w:lineRule="auto"/>
      </w:pPr>
      <w:r>
        <w:t xml:space="preserve">As part of a strong evidence-based approach to policy-making we would expect a fair level of consumption of research on the part of the policy makers: this we find to be in place. </w:t>
      </w:r>
      <w:r w:rsidR="00CA5836">
        <w:t>For example, over the previous 12 months, over a third of Canadian public se</w:t>
      </w:r>
      <w:r w:rsidR="00902643">
        <w:t>rvice</w:t>
      </w:r>
      <w:r w:rsidR="00CA5836">
        <w:t xml:space="preserve"> executives participate Often or Very Often in meetings that discuss academic research, and only seven percent never did.</w:t>
      </w:r>
      <w:r w:rsidR="000328CC">
        <w:t xml:space="preserve"> However, we would require further research to determine the quality and impact of these discussions.</w:t>
      </w:r>
    </w:p>
    <w:p w14:paraId="644992D9" w14:textId="77777777" w:rsidR="007725AB" w:rsidRDefault="007725AB" w:rsidP="00327849">
      <w:pPr>
        <w:spacing w:line="360" w:lineRule="auto"/>
      </w:pPr>
    </w:p>
    <w:p w14:paraId="75937CC0" w14:textId="77777777" w:rsidR="007725AB" w:rsidRDefault="00681CA5" w:rsidP="00327849">
      <w:pPr>
        <w:spacing w:line="360" w:lineRule="auto"/>
      </w:pPr>
      <w:r>
        <w:t>I</w:t>
      </w:r>
      <w:r w:rsidR="007725AB">
        <w:t>mportant element</w:t>
      </w:r>
      <w:r>
        <w:t>s</w:t>
      </w:r>
      <w:r w:rsidR="007725AB">
        <w:t xml:space="preserve"> of the process of policy advice that fuels an evidence-based </w:t>
      </w:r>
      <w:r w:rsidR="00CA5836">
        <w:t>approach</w:t>
      </w:r>
      <w:r w:rsidR="007725AB">
        <w:t xml:space="preserve"> </w:t>
      </w:r>
      <w:r>
        <w:t>are the source of that advice and whether that source is further involved in the discussion and evaluation of research materials.</w:t>
      </w:r>
      <w:r w:rsidR="00CA5836">
        <w:t xml:space="preserve"> With regard to the </w:t>
      </w:r>
      <w:r w:rsidR="00902643">
        <w:t xml:space="preserve">academic </w:t>
      </w:r>
      <w:r w:rsidR="00CA5836">
        <w:t xml:space="preserve">group we find that </w:t>
      </w:r>
      <w:r w:rsidR="00902643">
        <w:t>about 60% of those who answered our survey have participated in meeting with public servants that discussed academic research. While these occasions are not very frequent, they still represent an interesting approach to the use and examination of academic research by public service executives.</w:t>
      </w:r>
    </w:p>
    <w:p w14:paraId="3625BD7F" w14:textId="77777777" w:rsidR="00A75E3B" w:rsidRDefault="00A75E3B" w:rsidP="00327849">
      <w:pPr>
        <w:spacing w:line="360" w:lineRule="auto"/>
      </w:pPr>
    </w:p>
    <w:p w14:paraId="60E392C4" w14:textId="77777777" w:rsidR="00A75E3B" w:rsidRDefault="00A75E3B" w:rsidP="00327849">
      <w:pPr>
        <w:spacing w:line="360" w:lineRule="auto"/>
      </w:pPr>
    </w:p>
    <w:p w14:paraId="15825D0C" w14:textId="77777777" w:rsidR="00A75E3B" w:rsidRDefault="00A75E3B" w:rsidP="00327849">
      <w:pPr>
        <w:spacing w:line="360" w:lineRule="auto"/>
      </w:pPr>
    </w:p>
    <w:p w14:paraId="453841CB" w14:textId="77777777" w:rsidR="003B60EF" w:rsidRDefault="003B60EF" w:rsidP="00327849">
      <w:pPr>
        <w:spacing w:line="360" w:lineRule="auto"/>
      </w:pPr>
    </w:p>
    <w:p w14:paraId="1A40D793" w14:textId="77777777" w:rsidR="003B60EF" w:rsidRDefault="003B60EF" w:rsidP="00327849">
      <w:pPr>
        <w:spacing w:line="360" w:lineRule="auto"/>
      </w:pPr>
    </w:p>
    <w:p w14:paraId="449AD92D" w14:textId="77777777" w:rsidR="003B60EF" w:rsidRDefault="003B60EF" w:rsidP="00327849">
      <w:pPr>
        <w:spacing w:line="360" w:lineRule="auto"/>
      </w:pPr>
    </w:p>
    <w:p w14:paraId="038A64B9" w14:textId="77777777" w:rsidR="003B60EF" w:rsidRDefault="003B60EF" w:rsidP="00327849">
      <w:pPr>
        <w:spacing w:line="360" w:lineRule="auto"/>
      </w:pPr>
    </w:p>
    <w:p w14:paraId="6F46CAB8" w14:textId="77777777" w:rsidR="003B60EF" w:rsidRDefault="003B60EF" w:rsidP="00327849">
      <w:pPr>
        <w:spacing w:line="360" w:lineRule="auto"/>
      </w:pPr>
    </w:p>
    <w:p w14:paraId="09DBF9EC" w14:textId="77777777" w:rsidR="009A3D6C" w:rsidRDefault="008E14DE">
      <w:pPr>
        <w:rPr>
          <w:b/>
        </w:rPr>
      </w:pPr>
      <w:r>
        <w:rPr>
          <w:b/>
        </w:rPr>
        <w:lastRenderedPageBreak/>
        <w:t>Bibliography:</w:t>
      </w:r>
    </w:p>
    <w:p w14:paraId="570F76A0" w14:textId="77777777" w:rsidR="009A3D6C" w:rsidRDefault="009A3D6C" w:rsidP="009A3D6C">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0746B231" w14:textId="77777777" w:rsidR="002F0F7C" w:rsidRDefault="002F0F7C" w:rsidP="002F0F7C">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eastAsia="PMingLiU"/>
          <w:szCs w:val="20"/>
          <w:lang w:val="en-CA" w:eastAsia="zh-TW"/>
        </w:rPr>
      </w:pPr>
      <w:r w:rsidRPr="002F0F7C">
        <w:rPr>
          <w:rFonts w:eastAsia="PMingLiU"/>
          <w:szCs w:val="20"/>
          <w:lang w:val="en-CA" w:eastAsia="zh-TW"/>
        </w:rPr>
        <w:t xml:space="preserve">Cartwright, </w:t>
      </w:r>
      <w:r>
        <w:rPr>
          <w:rFonts w:eastAsia="PMingLiU"/>
          <w:szCs w:val="20"/>
          <w:lang w:val="en-CA" w:eastAsia="zh-TW"/>
        </w:rPr>
        <w:t xml:space="preserve">N. and J. </w:t>
      </w:r>
      <w:r w:rsidRPr="002F0F7C">
        <w:rPr>
          <w:rFonts w:eastAsia="PMingLiU"/>
          <w:szCs w:val="20"/>
          <w:lang w:val="en-CA" w:eastAsia="zh-TW"/>
        </w:rPr>
        <w:t>Hardi</w:t>
      </w:r>
      <w:r w:rsidR="00847937">
        <w:rPr>
          <w:rFonts w:eastAsia="PMingLiU"/>
          <w:szCs w:val="20"/>
          <w:lang w:val="en-CA" w:eastAsia="zh-TW"/>
        </w:rPr>
        <w:t>e.</w:t>
      </w:r>
      <w:r w:rsidRPr="002F0F7C">
        <w:rPr>
          <w:rFonts w:eastAsia="PMingLiU"/>
          <w:szCs w:val="20"/>
          <w:lang w:val="en-CA" w:eastAsia="zh-TW"/>
        </w:rPr>
        <w:t xml:space="preserve"> </w:t>
      </w:r>
      <w:r>
        <w:rPr>
          <w:rFonts w:eastAsia="PMingLiU"/>
          <w:szCs w:val="20"/>
          <w:lang w:val="en-CA" w:eastAsia="zh-TW"/>
        </w:rPr>
        <w:t xml:space="preserve">2012. </w:t>
      </w:r>
      <w:r w:rsidRPr="002F0F7C">
        <w:rPr>
          <w:rFonts w:eastAsia="PMingLiU"/>
          <w:i/>
          <w:szCs w:val="20"/>
          <w:lang w:val="en-CA" w:eastAsia="zh-TW"/>
        </w:rPr>
        <w:t>Evidence-Based Policy: A Practical Guide to Doing It Better</w:t>
      </w:r>
      <w:r>
        <w:rPr>
          <w:rFonts w:eastAsia="PMingLiU"/>
          <w:szCs w:val="20"/>
          <w:lang w:val="en-CA" w:eastAsia="zh-TW"/>
        </w:rPr>
        <w:t>. Oxford: Oxford University Press.</w:t>
      </w:r>
    </w:p>
    <w:p w14:paraId="3E2EC204" w14:textId="77777777" w:rsidR="00880A8D" w:rsidRDefault="00880A8D" w:rsidP="002F0F7C">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eastAsia="PMingLiU"/>
          <w:szCs w:val="20"/>
          <w:lang w:val="en-CA" w:eastAsia="zh-TW"/>
        </w:rPr>
      </w:pPr>
      <w:r w:rsidRPr="00880A8D">
        <w:rPr>
          <w:rFonts w:eastAsia="PMingLiU"/>
          <w:szCs w:val="20"/>
          <w:lang w:val="en-CA" w:eastAsia="zh-TW"/>
        </w:rPr>
        <w:t xml:space="preserve">Cherney, A., </w:t>
      </w:r>
      <w:r>
        <w:rPr>
          <w:rFonts w:eastAsia="PMingLiU"/>
          <w:szCs w:val="20"/>
          <w:lang w:val="en-CA" w:eastAsia="zh-TW"/>
        </w:rPr>
        <w:t>B.W.</w:t>
      </w:r>
      <w:r w:rsidRPr="00880A8D">
        <w:rPr>
          <w:rFonts w:eastAsia="PMingLiU"/>
          <w:szCs w:val="20"/>
          <w:lang w:val="en-CA" w:eastAsia="zh-TW"/>
        </w:rPr>
        <w:t xml:space="preserve"> Head, </w:t>
      </w:r>
      <w:r>
        <w:rPr>
          <w:rFonts w:eastAsia="PMingLiU"/>
          <w:szCs w:val="20"/>
          <w:lang w:val="en-CA" w:eastAsia="zh-TW"/>
        </w:rPr>
        <w:t>P.</w:t>
      </w:r>
      <w:r w:rsidRPr="00880A8D">
        <w:rPr>
          <w:rFonts w:eastAsia="PMingLiU"/>
          <w:szCs w:val="20"/>
          <w:lang w:val="en-CA" w:eastAsia="zh-TW"/>
        </w:rPr>
        <w:t xml:space="preserve"> Boreham, </w:t>
      </w:r>
      <w:r>
        <w:rPr>
          <w:rFonts w:eastAsia="PMingLiU"/>
          <w:szCs w:val="20"/>
          <w:lang w:val="en-CA" w:eastAsia="zh-TW"/>
        </w:rPr>
        <w:t xml:space="preserve">J. </w:t>
      </w:r>
      <w:r w:rsidRPr="00880A8D">
        <w:rPr>
          <w:rFonts w:eastAsia="PMingLiU"/>
          <w:szCs w:val="20"/>
          <w:lang w:val="en-CA" w:eastAsia="zh-TW"/>
        </w:rPr>
        <w:t>Pov</w:t>
      </w:r>
      <w:r>
        <w:rPr>
          <w:rFonts w:eastAsia="PMingLiU"/>
          <w:szCs w:val="20"/>
          <w:lang w:val="en-CA" w:eastAsia="zh-TW"/>
        </w:rPr>
        <w:t xml:space="preserve">ey, and </w:t>
      </w:r>
      <w:r w:rsidR="003A6EAE">
        <w:rPr>
          <w:rFonts w:eastAsia="PMingLiU"/>
          <w:szCs w:val="20"/>
          <w:lang w:val="en-CA" w:eastAsia="zh-TW"/>
        </w:rPr>
        <w:t>M. Ferguson</w:t>
      </w:r>
      <w:r>
        <w:rPr>
          <w:rFonts w:eastAsia="PMingLiU"/>
          <w:szCs w:val="20"/>
          <w:lang w:val="en-CA" w:eastAsia="zh-TW"/>
        </w:rPr>
        <w:t>. 2012. “Perspectives of Academic Social Scientists on Knowledge Transfer and Research Collaborations: A Cross S</w:t>
      </w:r>
      <w:r w:rsidRPr="00880A8D">
        <w:rPr>
          <w:rFonts w:eastAsia="PMingLiU"/>
          <w:szCs w:val="20"/>
          <w:lang w:val="en-CA" w:eastAsia="zh-TW"/>
        </w:rPr>
        <w:t xml:space="preserve">ectional </w:t>
      </w:r>
      <w:r>
        <w:rPr>
          <w:rFonts w:eastAsia="PMingLiU"/>
          <w:szCs w:val="20"/>
          <w:lang w:val="en-CA" w:eastAsia="zh-TW"/>
        </w:rPr>
        <w:t>Survey of Australian Academics.”</w:t>
      </w:r>
      <w:r w:rsidRPr="00880A8D">
        <w:rPr>
          <w:rFonts w:eastAsia="PMingLiU"/>
          <w:szCs w:val="20"/>
          <w:lang w:val="en-CA" w:eastAsia="zh-TW"/>
        </w:rPr>
        <w:t xml:space="preserve"> </w:t>
      </w:r>
      <w:r w:rsidRPr="00880A8D">
        <w:rPr>
          <w:rFonts w:eastAsia="PMingLiU"/>
          <w:i/>
          <w:szCs w:val="20"/>
          <w:lang w:val="en-CA" w:eastAsia="zh-TW"/>
        </w:rPr>
        <w:t>Evidence &amp; Policy</w:t>
      </w:r>
      <w:r>
        <w:rPr>
          <w:rFonts w:eastAsia="PMingLiU"/>
          <w:szCs w:val="20"/>
          <w:lang w:val="en-CA" w:eastAsia="zh-TW"/>
        </w:rPr>
        <w:t xml:space="preserve"> 8</w:t>
      </w:r>
      <w:r w:rsidRPr="00880A8D">
        <w:rPr>
          <w:rFonts w:eastAsia="PMingLiU"/>
          <w:szCs w:val="20"/>
          <w:lang w:val="en-CA" w:eastAsia="zh-TW"/>
        </w:rPr>
        <w:t>(4): 433-453.</w:t>
      </w:r>
    </w:p>
    <w:p w14:paraId="22D5E07B" w14:textId="77777777" w:rsidR="000E1FDA" w:rsidRDefault="000E1FDA" w:rsidP="00BD2820">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eastAsia="PMingLiU"/>
          <w:szCs w:val="20"/>
          <w:lang w:val="en-CA" w:eastAsia="zh-TW"/>
        </w:rPr>
      </w:pPr>
      <w:r w:rsidRPr="000E1FDA">
        <w:rPr>
          <w:rFonts w:eastAsia="PMingLiU"/>
          <w:szCs w:val="20"/>
          <w:lang w:val="en-CA" w:eastAsia="zh-TW"/>
        </w:rPr>
        <w:t>Corbett</w:t>
      </w:r>
      <w:r>
        <w:rPr>
          <w:rFonts w:eastAsia="PMingLiU"/>
          <w:szCs w:val="20"/>
          <w:lang w:val="en-CA" w:eastAsia="zh-TW"/>
        </w:rPr>
        <w:t xml:space="preserve">, T.J., and </w:t>
      </w:r>
      <w:r w:rsidR="003A6EAE">
        <w:rPr>
          <w:rFonts w:eastAsia="PMingLiU"/>
          <w:szCs w:val="20"/>
          <w:lang w:val="en-CA" w:eastAsia="zh-TW"/>
        </w:rPr>
        <w:t>K. Bogenschneider</w:t>
      </w:r>
      <w:r>
        <w:rPr>
          <w:rFonts w:eastAsia="PMingLiU"/>
          <w:szCs w:val="20"/>
          <w:lang w:val="en-CA" w:eastAsia="zh-TW"/>
        </w:rPr>
        <w:t xml:space="preserve">. 2011. </w:t>
      </w:r>
      <w:r w:rsidRPr="000E1FDA">
        <w:rPr>
          <w:rFonts w:eastAsia="PMingLiU"/>
          <w:i/>
          <w:szCs w:val="20"/>
          <w:lang w:val="en-CA" w:eastAsia="zh-TW"/>
        </w:rPr>
        <w:t>Evidence-Based Policymaking: Insights from Policy-Minded Researchers and Research-Minded Policy Makers</w:t>
      </w:r>
      <w:r>
        <w:rPr>
          <w:rFonts w:eastAsia="PMingLiU"/>
          <w:szCs w:val="20"/>
          <w:lang w:val="en-CA" w:eastAsia="zh-TW"/>
        </w:rPr>
        <w:t>. New York: Taylor and Francis.</w:t>
      </w:r>
    </w:p>
    <w:p w14:paraId="02119E09" w14:textId="77777777" w:rsidR="00483156" w:rsidRDefault="00483156" w:rsidP="00BD2820">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eastAsia="PMingLiU"/>
          <w:szCs w:val="20"/>
          <w:lang w:val="en-CA" w:eastAsia="zh-TW"/>
        </w:rPr>
      </w:pPr>
      <w:r>
        <w:rPr>
          <w:rFonts w:eastAsia="PMingLiU"/>
          <w:szCs w:val="20"/>
          <w:lang w:val="en-CA" w:eastAsia="zh-TW"/>
        </w:rPr>
        <w:t xml:space="preserve">Head, </w:t>
      </w:r>
      <w:r w:rsidR="00623FC8">
        <w:rPr>
          <w:rFonts w:eastAsia="PMingLiU"/>
          <w:szCs w:val="20"/>
          <w:lang w:val="en-CA" w:eastAsia="zh-TW"/>
        </w:rPr>
        <w:t>B.W. 2010</w:t>
      </w:r>
      <w:r>
        <w:rPr>
          <w:rFonts w:eastAsia="PMingLiU"/>
          <w:szCs w:val="20"/>
          <w:lang w:val="en-CA" w:eastAsia="zh-TW"/>
        </w:rPr>
        <w:t>a</w:t>
      </w:r>
      <w:r w:rsidR="00623FC8">
        <w:rPr>
          <w:rFonts w:eastAsia="PMingLiU"/>
          <w:szCs w:val="20"/>
          <w:lang w:val="en-CA" w:eastAsia="zh-TW"/>
        </w:rPr>
        <w:t>. “Reconsidering Evidence-Based Policy: Key Issues and C</w:t>
      </w:r>
      <w:r w:rsidR="00623FC8" w:rsidRPr="00623FC8">
        <w:rPr>
          <w:rFonts w:eastAsia="PMingLiU"/>
          <w:szCs w:val="20"/>
          <w:lang w:val="en-CA" w:eastAsia="zh-TW"/>
        </w:rPr>
        <w:t>hallen</w:t>
      </w:r>
      <w:r w:rsidR="00623FC8">
        <w:rPr>
          <w:rFonts w:eastAsia="PMingLiU"/>
          <w:szCs w:val="20"/>
          <w:lang w:val="en-CA" w:eastAsia="zh-TW"/>
        </w:rPr>
        <w:t>ges.”</w:t>
      </w:r>
      <w:r w:rsidR="00623FC8" w:rsidRPr="00623FC8">
        <w:rPr>
          <w:rFonts w:eastAsia="PMingLiU"/>
          <w:szCs w:val="20"/>
          <w:lang w:val="en-CA" w:eastAsia="zh-TW"/>
        </w:rPr>
        <w:t xml:space="preserve"> </w:t>
      </w:r>
      <w:r w:rsidR="00623FC8" w:rsidRPr="00623FC8">
        <w:rPr>
          <w:rFonts w:eastAsia="PMingLiU"/>
          <w:i/>
          <w:szCs w:val="20"/>
          <w:lang w:val="en-CA" w:eastAsia="zh-TW"/>
        </w:rPr>
        <w:t>Policy and Society</w:t>
      </w:r>
      <w:r w:rsidR="00623FC8" w:rsidRPr="00623FC8">
        <w:rPr>
          <w:rFonts w:eastAsia="PMingLiU"/>
          <w:szCs w:val="20"/>
          <w:lang w:val="en-CA" w:eastAsia="zh-TW"/>
        </w:rPr>
        <w:t xml:space="preserve"> 29(2): 77–94.</w:t>
      </w:r>
    </w:p>
    <w:p w14:paraId="78E88074" w14:textId="77777777" w:rsidR="00623FC8" w:rsidRDefault="00483156" w:rsidP="00BD2820">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eastAsia="PMingLiU"/>
          <w:szCs w:val="20"/>
          <w:lang w:val="en-CA" w:eastAsia="zh-TW"/>
        </w:rPr>
      </w:pPr>
      <w:r>
        <w:rPr>
          <w:rFonts w:eastAsia="PMingLiU"/>
          <w:szCs w:val="20"/>
          <w:lang w:val="en-CA" w:eastAsia="zh-TW"/>
        </w:rPr>
        <w:t xml:space="preserve">Head, B.W. 2010b. “From Knowledge to Knowledge-Sharing? Towards better Links between Research, Policy and Practice.” in G. Bammer </w:t>
      </w:r>
      <w:r w:rsidRPr="00483156">
        <w:rPr>
          <w:rFonts w:eastAsia="PMingLiU"/>
          <w:i/>
          <w:szCs w:val="20"/>
          <w:lang w:val="en-CA" w:eastAsia="zh-TW"/>
        </w:rPr>
        <w:t>et al</w:t>
      </w:r>
      <w:r>
        <w:rPr>
          <w:rFonts w:eastAsia="PMingLiU"/>
          <w:szCs w:val="20"/>
          <w:lang w:val="en-CA" w:eastAsia="zh-TW"/>
        </w:rPr>
        <w:t xml:space="preserve"> (E</w:t>
      </w:r>
      <w:r w:rsidRPr="00483156">
        <w:rPr>
          <w:rFonts w:eastAsia="PMingLiU"/>
          <w:szCs w:val="20"/>
          <w:lang w:val="en-CA" w:eastAsia="zh-TW"/>
        </w:rPr>
        <w:t>ds</w:t>
      </w:r>
      <w:r>
        <w:rPr>
          <w:rFonts w:eastAsia="PMingLiU"/>
          <w:szCs w:val="20"/>
          <w:lang w:val="en-CA" w:eastAsia="zh-TW"/>
        </w:rPr>
        <w:t>.</w:t>
      </w:r>
      <w:r w:rsidRPr="00483156">
        <w:rPr>
          <w:rFonts w:eastAsia="PMingLiU"/>
          <w:szCs w:val="20"/>
          <w:lang w:val="en-CA" w:eastAsia="zh-TW"/>
        </w:rPr>
        <w:t xml:space="preserve">) </w:t>
      </w:r>
      <w:r w:rsidRPr="00483156">
        <w:rPr>
          <w:rFonts w:eastAsia="PMingLiU"/>
          <w:i/>
          <w:szCs w:val="20"/>
          <w:lang w:val="en-CA" w:eastAsia="zh-TW"/>
        </w:rPr>
        <w:t>Knowledge Brokering</w:t>
      </w:r>
      <w:r>
        <w:rPr>
          <w:rFonts w:eastAsia="PMingLiU"/>
          <w:szCs w:val="20"/>
          <w:lang w:val="en-CA" w:eastAsia="zh-TW"/>
        </w:rPr>
        <w:t>.</w:t>
      </w:r>
      <w:r w:rsidRPr="00483156">
        <w:rPr>
          <w:rFonts w:eastAsia="PMingLiU"/>
          <w:szCs w:val="20"/>
          <w:lang w:val="en-CA" w:eastAsia="zh-TW"/>
        </w:rPr>
        <w:t xml:space="preserve"> Canberra: ANU e-Press</w:t>
      </w:r>
      <w:r>
        <w:rPr>
          <w:rFonts w:eastAsia="PMingLiU"/>
          <w:szCs w:val="20"/>
          <w:lang w:val="en-CA" w:eastAsia="zh-TW"/>
        </w:rPr>
        <w:t>:</w:t>
      </w:r>
      <w:r w:rsidRPr="00483156">
        <w:rPr>
          <w:rFonts w:eastAsia="PMingLiU"/>
          <w:szCs w:val="20"/>
          <w:lang w:val="en-CA" w:eastAsia="zh-TW"/>
        </w:rPr>
        <w:t xml:space="preserve"> 109-123.</w:t>
      </w:r>
    </w:p>
    <w:p w14:paraId="0A94E366" w14:textId="77777777" w:rsidR="00CA5D27" w:rsidRDefault="00CA5D27" w:rsidP="00CA5D27">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eastAsia="PMingLiU"/>
          <w:szCs w:val="20"/>
          <w:lang w:val="en-CA" w:eastAsia="zh-TW"/>
        </w:rPr>
      </w:pPr>
      <w:r w:rsidRPr="000328CC">
        <w:rPr>
          <w:rFonts w:eastAsia="PMingLiU"/>
          <w:szCs w:val="20"/>
          <w:lang w:val="en-CA" w:eastAsia="zh-TW"/>
        </w:rPr>
        <w:t>Head, B.</w:t>
      </w:r>
      <w:r w:rsidR="001B1B68" w:rsidRPr="000328CC">
        <w:rPr>
          <w:rFonts w:eastAsia="PMingLiU"/>
          <w:szCs w:val="20"/>
          <w:lang w:val="en-CA" w:eastAsia="zh-TW"/>
        </w:rPr>
        <w:t>W. 2013</w:t>
      </w:r>
      <w:r w:rsidRPr="000328CC">
        <w:rPr>
          <w:rFonts w:eastAsia="PMingLiU"/>
          <w:szCs w:val="20"/>
          <w:lang w:val="en-CA" w:eastAsia="zh-TW"/>
        </w:rPr>
        <w:t>.</w:t>
      </w:r>
      <w:r w:rsidRPr="00CA5D27">
        <w:rPr>
          <w:rFonts w:eastAsia="PMingLiU"/>
          <w:szCs w:val="20"/>
          <w:lang w:val="en-CA" w:eastAsia="zh-TW"/>
        </w:rPr>
        <w:t xml:space="preserve"> </w:t>
      </w:r>
      <w:r>
        <w:rPr>
          <w:rFonts w:eastAsia="PMingLiU"/>
          <w:szCs w:val="20"/>
          <w:lang w:val="en-CA" w:eastAsia="zh-TW"/>
        </w:rPr>
        <w:t>“Evidence-based Policy-making for I</w:t>
      </w:r>
      <w:r w:rsidRPr="00CA5D27">
        <w:rPr>
          <w:rFonts w:eastAsia="PMingLiU"/>
          <w:szCs w:val="20"/>
          <w:lang w:val="en-CA" w:eastAsia="zh-TW"/>
        </w:rPr>
        <w:t>nnovation.</w:t>
      </w:r>
      <w:r>
        <w:rPr>
          <w:rFonts w:eastAsia="PMingLiU"/>
          <w:szCs w:val="20"/>
          <w:lang w:val="en-CA" w:eastAsia="zh-TW"/>
        </w:rPr>
        <w:t>”</w:t>
      </w:r>
      <w:r w:rsidRPr="00CA5D27">
        <w:rPr>
          <w:rFonts w:eastAsia="PMingLiU"/>
          <w:szCs w:val="20"/>
          <w:lang w:val="en-CA" w:eastAsia="zh-TW"/>
        </w:rPr>
        <w:t xml:space="preserve"> In Stephen P. Osborne and Louise Brown (Ed.), </w:t>
      </w:r>
      <w:r>
        <w:rPr>
          <w:rFonts w:eastAsia="PMingLiU"/>
          <w:i/>
          <w:szCs w:val="20"/>
          <w:lang w:val="en-CA" w:eastAsia="zh-TW"/>
        </w:rPr>
        <w:t>Handbook of Innovation in Public S</w:t>
      </w:r>
      <w:r w:rsidRPr="00CA5D27">
        <w:rPr>
          <w:rFonts w:eastAsia="PMingLiU"/>
          <w:i/>
          <w:szCs w:val="20"/>
          <w:lang w:val="en-CA" w:eastAsia="zh-TW"/>
        </w:rPr>
        <w:t>ervices</w:t>
      </w:r>
      <w:r>
        <w:rPr>
          <w:rFonts w:eastAsia="PMingLiU"/>
          <w:i/>
          <w:szCs w:val="20"/>
          <w:lang w:val="en-CA" w:eastAsia="zh-TW"/>
        </w:rPr>
        <w:t>.</w:t>
      </w:r>
      <w:r w:rsidRPr="00CA5D27">
        <w:rPr>
          <w:rFonts w:eastAsia="PMingLiU"/>
          <w:i/>
          <w:szCs w:val="20"/>
          <w:lang w:val="en-CA" w:eastAsia="zh-TW"/>
        </w:rPr>
        <w:t xml:space="preserve"> </w:t>
      </w:r>
      <w:r>
        <w:rPr>
          <w:rFonts w:eastAsia="PMingLiU"/>
          <w:szCs w:val="20"/>
          <w:lang w:val="en-CA" w:eastAsia="zh-TW"/>
        </w:rPr>
        <w:t>Cheltenham</w:t>
      </w:r>
      <w:r w:rsidRPr="00CA5D27">
        <w:rPr>
          <w:rFonts w:eastAsia="PMingLiU"/>
          <w:szCs w:val="20"/>
          <w:lang w:val="en-CA" w:eastAsia="zh-TW"/>
        </w:rPr>
        <w:t>: Edward Elga</w:t>
      </w:r>
      <w:r>
        <w:rPr>
          <w:rFonts w:eastAsia="PMingLiU"/>
          <w:szCs w:val="20"/>
          <w:lang w:val="en-CA" w:eastAsia="zh-TW"/>
        </w:rPr>
        <w:t>rd:</w:t>
      </w:r>
      <w:r w:rsidRPr="00CA5D27">
        <w:rPr>
          <w:rFonts w:eastAsia="PMingLiU"/>
          <w:szCs w:val="20"/>
          <w:lang w:val="en-CA" w:eastAsia="zh-TW"/>
        </w:rPr>
        <w:t xml:space="preserve"> </w:t>
      </w:r>
      <w:r>
        <w:rPr>
          <w:rFonts w:eastAsia="PMingLiU"/>
          <w:szCs w:val="20"/>
          <w:lang w:val="en-CA" w:eastAsia="zh-TW"/>
        </w:rPr>
        <w:t>143-156.</w:t>
      </w:r>
    </w:p>
    <w:p w14:paraId="0CE470D6" w14:textId="77777777" w:rsidR="00CA5D27" w:rsidRDefault="00CA5D27" w:rsidP="00CA5D27">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eastAsia="PMingLiU"/>
          <w:szCs w:val="20"/>
          <w:lang w:val="en-CA" w:eastAsia="zh-TW"/>
        </w:rPr>
      </w:pPr>
      <w:r w:rsidRPr="00071CC6">
        <w:rPr>
          <w:rFonts w:eastAsia="PMingLiU"/>
          <w:szCs w:val="20"/>
          <w:lang w:val="en-CA" w:eastAsia="zh-TW"/>
        </w:rPr>
        <w:t>Head, B</w:t>
      </w:r>
      <w:r>
        <w:rPr>
          <w:rFonts w:eastAsia="PMingLiU"/>
          <w:szCs w:val="20"/>
          <w:lang w:val="en-CA" w:eastAsia="zh-TW"/>
        </w:rPr>
        <w:t>.W. 2014. “Public Administration and the P</w:t>
      </w:r>
      <w:r w:rsidRPr="00071CC6">
        <w:rPr>
          <w:rFonts w:eastAsia="PMingLiU"/>
          <w:szCs w:val="20"/>
          <w:lang w:val="en-CA" w:eastAsia="zh-TW"/>
        </w:rPr>
        <w:t>ro</w:t>
      </w:r>
      <w:r>
        <w:rPr>
          <w:rFonts w:eastAsia="PMingLiU"/>
          <w:szCs w:val="20"/>
          <w:lang w:val="en-CA" w:eastAsia="zh-TW"/>
        </w:rPr>
        <w:t>mise of Evidence-based Policy: E</w:t>
      </w:r>
      <w:r w:rsidRPr="00071CC6">
        <w:rPr>
          <w:rFonts w:eastAsia="PMingLiU"/>
          <w:szCs w:val="20"/>
          <w:lang w:val="en-CA" w:eastAsia="zh-TW"/>
        </w:rPr>
        <w:t>xperience in and beyond Australia.</w:t>
      </w:r>
      <w:r>
        <w:rPr>
          <w:rFonts w:eastAsia="PMingLiU"/>
          <w:szCs w:val="20"/>
          <w:lang w:val="en-CA" w:eastAsia="zh-TW"/>
        </w:rPr>
        <w:t>”</w:t>
      </w:r>
      <w:r w:rsidRPr="00071CC6">
        <w:rPr>
          <w:rFonts w:eastAsia="PMingLiU"/>
          <w:szCs w:val="20"/>
          <w:lang w:val="en-CA" w:eastAsia="zh-TW"/>
        </w:rPr>
        <w:t xml:space="preserve"> </w:t>
      </w:r>
      <w:r w:rsidRPr="00071CC6">
        <w:rPr>
          <w:rFonts w:eastAsia="PMingLiU"/>
          <w:i/>
          <w:szCs w:val="20"/>
          <w:lang w:val="en-CA" w:eastAsia="zh-TW"/>
        </w:rPr>
        <w:t>Asia Pacific Journal of Public Administration</w:t>
      </w:r>
      <w:r>
        <w:rPr>
          <w:rFonts w:eastAsia="PMingLiU"/>
          <w:szCs w:val="20"/>
          <w:lang w:val="en-CA" w:eastAsia="zh-TW"/>
        </w:rPr>
        <w:t xml:space="preserve"> 36(</w:t>
      </w:r>
      <w:r w:rsidRPr="00071CC6">
        <w:rPr>
          <w:rFonts w:eastAsia="PMingLiU"/>
          <w:szCs w:val="20"/>
          <w:lang w:val="en-CA" w:eastAsia="zh-TW"/>
        </w:rPr>
        <w:t>1</w:t>
      </w:r>
      <w:r>
        <w:rPr>
          <w:rFonts w:eastAsia="PMingLiU"/>
          <w:szCs w:val="20"/>
          <w:lang w:val="en-CA" w:eastAsia="zh-TW"/>
        </w:rPr>
        <w:t>)</w:t>
      </w:r>
      <w:r w:rsidRPr="00071CC6">
        <w:rPr>
          <w:rFonts w:eastAsia="PMingLiU"/>
          <w:szCs w:val="20"/>
          <w:lang w:val="en-CA" w:eastAsia="zh-TW"/>
        </w:rPr>
        <w:t>: 48-59</w:t>
      </w:r>
      <w:r>
        <w:rPr>
          <w:rFonts w:eastAsia="PMingLiU"/>
          <w:szCs w:val="20"/>
          <w:lang w:val="en-CA" w:eastAsia="zh-TW"/>
        </w:rPr>
        <w:t>.</w:t>
      </w:r>
    </w:p>
    <w:p w14:paraId="32C97EBC" w14:textId="77777777" w:rsidR="00B218B4" w:rsidRDefault="00B218B4" w:rsidP="00BD2820">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eastAsia="PMingLiU"/>
          <w:szCs w:val="20"/>
          <w:lang w:val="en-CA" w:eastAsia="zh-TW"/>
        </w:rPr>
      </w:pPr>
      <w:r>
        <w:rPr>
          <w:rFonts w:eastAsia="PMingLiU"/>
          <w:szCs w:val="20"/>
          <w:lang w:val="en-CA" w:eastAsia="zh-TW"/>
        </w:rPr>
        <w:t>Head, B.</w:t>
      </w:r>
      <w:r w:rsidR="001F4712">
        <w:rPr>
          <w:rFonts w:eastAsia="PMingLiU"/>
          <w:szCs w:val="20"/>
          <w:lang w:val="en-CA" w:eastAsia="zh-TW"/>
        </w:rPr>
        <w:t>W. 2015</w:t>
      </w:r>
      <w:r w:rsidR="00831C7A">
        <w:rPr>
          <w:rFonts w:eastAsia="PMingLiU"/>
          <w:szCs w:val="20"/>
          <w:lang w:val="en-CA" w:eastAsia="zh-TW"/>
        </w:rPr>
        <w:t>a</w:t>
      </w:r>
      <w:r w:rsidR="001F4712">
        <w:rPr>
          <w:rFonts w:eastAsia="PMingLiU"/>
          <w:szCs w:val="20"/>
          <w:lang w:val="en-CA" w:eastAsia="zh-TW"/>
        </w:rPr>
        <w:t xml:space="preserve">. “Relationships between Policy Academics and Public Servants: Learning at a Distance?” </w:t>
      </w:r>
      <w:r w:rsidR="001F4712">
        <w:rPr>
          <w:rFonts w:eastAsia="PMingLiU"/>
          <w:i/>
          <w:szCs w:val="20"/>
          <w:lang w:val="en-CA" w:eastAsia="zh-TW"/>
        </w:rPr>
        <w:t>Australian Journal of Public Administration</w:t>
      </w:r>
      <w:r w:rsidR="001F4712">
        <w:rPr>
          <w:rFonts w:eastAsia="PMingLiU"/>
          <w:szCs w:val="20"/>
          <w:lang w:val="en-CA" w:eastAsia="zh-TW"/>
        </w:rPr>
        <w:t xml:space="preserve"> 74(1): 5-12.</w:t>
      </w:r>
    </w:p>
    <w:p w14:paraId="770FC697" w14:textId="77777777" w:rsidR="00831C7A" w:rsidRDefault="00831C7A" w:rsidP="00BD2820">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eastAsia="PMingLiU"/>
          <w:szCs w:val="20"/>
          <w:lang w:val="en-CA" w:eastAsia="zh-TW"/>
        </w:rPr>
      </w:pPr>
      <w:r w:rsidRPr="00831C7A">
        <w:rPr>
          <w:rFonts w:eastAsia="PMingLiU"/>
          <w:szCs w:val="20"/>
          <w:lang w:val="en-CA" w:eastAsia="zh-TW"/>
        </w:rPr>
        <w:t xml:space="preserve">Head, </w:t>
      </w:r>
      <w:r>
        <w:rPr>
          <w:rFonts w:eastAsia="PMingLiU"/>
          <w:szCs w:val="20"/>
          <w:lang w:val="en-CA" w:eastAsia="zh-TW"/>
        </w:rPr>
        <w:t>B.W. 2015b.</w:t>
      </w:r>
      <w:r w:rsidRPr="00831C7A">
        <w:rPr>
          <w:rFonts w:eastAsia="PMingLiU"/>
          <w:szCs w:val="20"/>
          <w:lang w:val="en-CA" w:eastAsia="zh-TW"/>
        </w:rPr>
        <w:t xml:space="preserve"> </w:t>
      </w:r>
      <w:r>
        <w:rPr>
          <w:rFonts w:eastAsia="PMingLiU"/>
          <w:szCs w:val="20"/>
          <w:lang w:val="en-CA" w:eastAsia="zh-TW"/>
        </w:rPr>
        <w:t>“</w:t>
      </w:r>
      <w:r w:rsidRPr="00831C7A">
        <w:rPr>
          <w:rFonts w:eastAsia="PMingLiU"/>
          <w:szCs w:val="20"/>
          <w:lang w:val="en-CA" w:eastAsia="zh-TW"/>
        </w:rPr>
        <w:t xml:space="preserve">Policy </w:t>
      </w:r>
      <w:r>
        <w:rPr>
          <w:rFonts w:eastAsia="PMingLiU"/>
          <w:szCs w:val="20"/>
          <w:lang w:val="en-CA" w:eastAsia="zh-TW"/>
        </w:rPr>
        <w:t>Analysis: Evidence Based Policy-M</w:t>
      </w:r>
      <w:r w:rsidRPr="00831C7A">
        <w:rPr>
          <w:rFonts w:eastAsia="PMingLiU"/>
          <w:szCs w:val="20"/>
          <w:lang w:val="en-CA" w:eastAsia="zh-TW"/>
        </w:rPr>
        <w:t>aking.</w:t>
      </w:r>
      <w:r>
        <w:rPr>
          <w:rFonts w:eastAsia="PMingLiU"/>
          <w:szCs w:val="20"/>
          <w:lang w:val="en-CA" w:eastAsia="zh-TW"/>
        </w:rPr>
        <w:t>”</w:t>
      </w:r>
      <w:r w:rsidRPr="00831C7A">
        <w:rPr>
          <w:rFonts w:eastAsia="PMingLiU"/>
          <w:szCs w:val="20"/>
          <w:lang w:val="en-CA" w:eastAsia="zh-TW"/>
        </w:rPr>
        <w:t xml:space="preserve"> In </w:t>
      </w:r>
      <w:r w:rsidRPr="00831C7A">
        <w:rPr>
          <w:rFonts w:eastAsia="PMingLiU"/>
          <w:i/>
          <w:szCs w:val="20"/>
          <w:lang w:val="en-CA" w:eastAsia="zh-TW"/>
        </w:rPr>
        <w:t>International Encyclopedia of the Social and Behavioral Sciences</w:t>
      </w:r>
      <w:r w:rsidRPr="00831C7A">
        <w:rPr>
          <w:rFonts w:eastAsia="PMingLiU"/>
          <w:szCs w:val="20"/>
          <w:lang w:val="en-CA" w:eastAsia="zh-TW"/>
        </w:rPr>
        <w:t>, Vol 18 Second ed.</w:t>
      </w:r>
      <w:r>
        <w:rPr>
          <w:rFonts w:eastAsia="PMingLiU"/>
          <w:szCs w:val="20"/>
          <w:lang w:val="en-CA" w:eastAsia="zh-TW"/>
        </w:rPr>
        <w:t>, Oxford</w:t>
      </w:r>
      <w:r w:rsidRPr="00831C7A">
        <w:rPr>
          <w:rFonts w:eastAsia="PMingLiU"/>
          <w:szCs w:val="20"/>
          <w:lang w:val="en-CA" w:eastAsia="zh-TW"/>
        </w:rPr>
        <w:t>: Elsevier</w:t>
      </w:r>
      <w:r>
        <w:rPr>
          <w:rFonts w:eastAsia="PMingLiU"/>
          <w:szCs w:val="20"/>
          <w:lang w:val="en-CA" w:eastAsia="zh-TW"/>
        </w:rPr>
        <w:t>: 281-287.</w:t>
      </w:r>
    </w:p>
    <w:p w14:paraId="334275F5" w14:textId="77777777" w:rsidR="00B218B4" w:rsidRDefault="00B218B4" w:rsidP="00BD2820">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eastAsia="PMingLiU"/>
          <w:szCs w:val="20"/>
          <w:lang w:val="en-CA" w:eastAsia="zh-TW"/>
        </w:rPr>
      </w:pPr>
      <w:r>
        <w:rPr>
          <w:rFonts w:eastAsia="PMingLiU"/>
          <w:szCs w:val="20"/>
          <w:lang w:val="en-CA" w:eastAsia="zh-TW"/>
        </w:rPr>
        <w:t>Head, B</w:t>
      </w:r>
      <w:r w:rsidR="00623FC8">
        <w:rPr>
          <w:rFonts w:eastAsia="PMingLiU"/>
          <w:szCs w:val="20"/>
          <w:lang w:val="en-CA" w:eastAsia="zh-TW"/>
        </w:rPr>
        <w:t>.</w:t>
      </w:r>
      <w:r>
        <w:rPr>
          <w:rFonts w:eastAsia="PMingLiU"/>
          <w:szCs w:val="20"/>
          <w:lang w:val="en-CA" w:eastAsia="zh-TW"/>
        </w:rPr>
        <w:t>W., M. Ferguson, A</w:t>
      </w:r>
      <w:r w:rsidR="000328CC">
        <w:rPr>
          <w:rFonts w:eastAsia="PMingLiU"/>
          <w:szCs w:val="20"/>
          <w:lang w:val="en-CA" w:eastAsia="zh-TW"/>
        </w:rPr>
        <w:t>.</w:t>
      </w:r>
      <w:r>
        <w:rPr>
          <w:rFonts w:eastAsia="PMingLiU"/>
          <w:szCs w:val="20"/>
          <w:lang w:val="en-CA" w:eastAsia="zh-TW"/>
        </w:rPr>
        <w:t xml:space="preserve"> Cherney, and P. Boreham. </w:t>
      </w:r>
      <w:r w:rsidR="00CB2F87">
        <w:rPr>
          <w:rFonts w:eastAsia="PMingLiU"/>
          <w:szCs w:val="20"/>
          <w:lang w:val="en-CA" w:eastAsia="zh-TW"/>
        </w:rPr>
        <w:t xml:space="preserve">2014. </w:t>
      </w:r>
      <w:r>
        <w:rPr>
          <w:rFonts w:eastAsia="PMingLiU"/>
          <w:szCs w:val="20"/>
          <w:lang w:val="en-CA" w:eastAsia="zh-TW"/>
        </w:rPr>
        <w:t xml:space="preserve">“Are Policy-Makers Interested in Social Research? Exploring the Sources and Uses of Valued Information among Public Servants in Australia.” </w:t>
      </w:r>
      <w:r>
        <w:rPr>
          <w:rFonts w:eastAsia="PMingLiU"/>
          <w:i/>
          <w:szCs w:val="20"/>
          <w:lang w:val="en-CA" w:eastAsia="zh-TW"/>
        </w:rPr>
        <w:t>Policy and Society</w:t>
      </w:r>
      <w:r>
        <w:rPr>
          <w:rFonts w:eastAsia="PMingLiU"/>
          <w:szCs w:val="20"/>
          <w:lang w:val="en-CA" w:eastAsia="zh-TW"/>
        </w:rPr>
        <w:t xml:space="preserve"> 33(2): 89-101.</w:t>
      </w:r>
    </w:p>
    <w:p w14:paraId="17B40F73" w14:textId="77777777" w:rsidR="009A3D6C" w:rsidRPr="00BD2820" w:rsidRDefault="009A3D6C" w:rsidP="00BD2820">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cs="Arial"/>
          <w:szCs w:val="20"/>
        </w:rPr>
      </w:pPr>
      <w:r w:rsidRPr="00AA3AE3">
        <w:rPr>
          <w:rFonts w:eastAsia="PMingLiU"/>
          <w:szCs w:val="20"/>
          <w:lang w:val="en-CA" w:eastAsia="zh-TW"/>
        </w:rPr>
        <w:t>Howlett, M</w:t>
      </w:r>
      <w:r w:rsidR="00B218B4">
        <w:rPr>
          <w:rFonts w:eastAsia="PMingLiU"/>
          <w:szCs w:val="20"/>
          <w:lang w:val="en-CA" w:eastAsia="zh-TW"/>
        </w:rPr>
        <w:t>.</w:t>
      </w:r>
      <w:r>
        <w:rPr>
          <w:rFonts w:eastAsia="PMingLiU"/>
          <w:szCs w:val="20"/>
          <w:lang w:val="en-CA" w:eastAsia="zh-TW"/>
        </w:rPr>
        <w:t xml:space="preserve">, </w:t>
      </w:r>
      <w:r w:rsidR="00B218B4">
        <w:rPr>
          <w:rFonts w:eastAsia="PMingLiU"/>
          <w:szCs w:val="20"/>
          <w:lang w:val="en-CA" w:eastAsia="zh-TW"/>
        </w:rPr>
        <w:t xml:space="preserve">A.R. </w:t>
      </w:r>
      <w:r>
        <w:rPr>
          <w:rFonts w:eastAsia="PMingLiU"/>
          <w:szCs w:val="20"/>
          <w:lang w:val="en-CA" w:eastAsia="zh-TW"/>
        </w:rPr>
        <w:t>Migone, and</w:t>
      </w:r>
      <w:r w:rsidRPr="00DA78C6">
        <w:rPr>
          <w:rFonts w:cs="Arial"/>
          <w:szCs w:val="20"/>
        </w:rPr>
        <w:t xml:space="preserve"> </w:t>
      </w:r>
      <w:r w:rsidR="00B218B4">
        <w:rPr>
          <w:rFonts w:cs="Arial"/>
          <w:szCs w:val="20"/>
        </w:rPr>
        <w:t>S. Tan</w:t>
      </w:r>
      <w:r>
        <w:rPr>
          <w:rFonts w:cs="Arial"/>
          <w:szCs w:val="20"/>
        </w:rPr>
        <w:t>.</w:t>
      </w:r>
      <w:r w:rsidRPr="00AA3AE3">
        <w:rPr>
          <w:rFonts w:eastAsia="PMingLiU"/>
          <w:szCs w:val="20"/>
          <w:lang w:val="en-CA" w:eastAsia="zh-TW"/>
        </w:rPr>
        <w:t xml:space="preserve"> </w:t>
      </w:r>
      <w:r w:rsidR="001F4712">
        <w:rPr>
          <w:rFonts w:eastAsia="PMingLiU"/>
          <w:szCs w:val="20"/>
          <w:lang w:eastAsia="zh-TW"/>
        </w:rPr>
        <w:t>2014</w:t>
      </w:r>
      <w:r w:rsidRPr="00D77947">
        <w:rPr>
          <w:rFonts w:eastAsia="PMingLiU"/>
          <w:szCs w:val="20"/>
          <w:lang w:eastAsia="zh-TW"/>
        </w:rPr>
        <w:t xml:space="preserve">. </w:t>
      </w:r>
      <w:r>
        <w:rPr>
          <w:rFonts w:cs="Arial"/>
          <w:szCs w:val="20"/>
        </w:rPr>
        <w:t>“</w:t>
      </w:r>
      <w:r w:rsidRPr="001E6A6C">
        <w:rPr>
          <w:rFonts w:cs="Arial"/>
          <w:szCs w:val="20"/>
        </w:rPr>
        <w:t>Duplication or Complementarity?  External Policy Consulting and Its Relationship to Internal Policy Analysis in Canada</w:t>
      </w:r>
      <w:r>
        <w:rPr>
          <w:rFonts w:cs="Arial"/>
          <w:szCs w:val="20"/>
        </w:rPr>
        <w:t xml:space="preserve">.” </w:t>
      </w:r>
      <w:r w:rsidRPr="001E6A6C">
        <w:rPr>
          <w:rFonts w:cs="Arial"/>
          <w:i/>
          <w:szCs w:val="20"/>
        </w:rPr>
        <w:t>Canadian Journal of Political Science</w:t>
      </w:r>
      <w:r w:rsidR="001F4712">
        <w:rPr>
          <w:rFonts w:cs="Arial"/>
          <w:szCs w:val="20"/>
        </w:rPr>
        <w:t xml:space="preserve"> 47(1): 113-134.</w:t>
      </w:r>
    </w:p>
    <w:p w14:paraId="71C16147" w14:textId="77777777" w:rsidR="009A3D6C" w:rsidRDefault="009A3D6C" w:rsidP="00BD2820">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eastAsia="PMingLiU"/>
          <w:szCs w:val="20"/>
          <w:lang w:eastAsia="zh-TW"/>
        </w:rPr>
      </w:pPr>
      <w:r>
        <w:rPr>
          <w:rFonts w:eastAsia="PMingLiU"/>
          <w:szCs w:val="20"/>
          <w:lang w:eastAsia="zh-TW"/>
        </w:rPr>
        <w:t>Howlett, M</w:t>
      </w:r>
      <w:r w:rsidR="00B218B4">
        <w:rPr>
          <w:rFonts w:eastAsia="PMingLiU"/>
          <w:szCs w:val="20"/>
          <w:lang w:eastAsia="zh-TW"/>
        </w:rPr>
        <w:t>.</w:t>
      </w:r>
      <w:r>
        <w:rPr>
          <w:rFonts w:eastAsia="PMingLiU"/>
          <w:szCs w:val="20"/>
          <w:lang w:eastAsia="zh-TW"/>
        </w:rPr>
        <w:t xml:space="preserve"> and</w:t>
      </w:r>
      <w:r w:rsidRPr="00DA2590">
        <w:rPr>
          <w:rFonts w:eastAsia="PMingLiU"/>
          <w:szCs w:val="20"/>
          <w:lang w:eastAsia="zh-TW"/>
        </w:rPr>
        <w:t xml:space="preserve"> </w:t>
      </w:r>
      <w:r w:rsidR="00B218B4">
        <w:rPr>
          <w:rFonts w:eastAsia="PMingLiU"/>
          <w:szCs w:val="20"/>
          <w:lang w:val="en-CA" w:eastAsia="zh-TW"/>
        </w:rPr>
        <w:t>A.R. Migone</w:t>
      </w:r>
      <w:r w:rsidRPr="00DA2590">
        <w:rPr>
          <w:rFonts w:eastAsia="PMingLiU"/>
          <w:szCs w:val="20"/>
          <w:lang w:eastAsia="zh-TW"/>
        </w:rPr>
        <w:t xml:space="preserve">. </w:t>
      </w:r>
      <w:r>
        <w:rPr>
          <w:rFonts w:eastAsia="PMingLiU"/>
          <w:szCs w:val="20"/>
          <w:lang w:eastAsia="zh-TW"/>
        </w:rPr>
        <w:t xml:space="preserve">2014. </w:t>
      </w:r>
      <w:r w:rsidRPr="00DA2590">
        <w:rPr>
          <w:rFonts w:eastAsia="PMingLiU"/>
          <w:szCs w:val="20"/>
          <w:lang w:eastAsia="zh-TW"/>
        </w:rPr>
        <w:t>"</w:t>
      </w:r>
      <w:r w:rsidRPr="00A81B3D">
        <w:rPr>
          <w:rFonts w:eastAsia="PMingLiU"/>
          <w:szCs w:val="20"/>
          <w:lang w:eastAsia="zh-TW"/>
        </w:rPr>
        <w:t>Making the Invisible Public Service Visible?</w:t>
      </w:r>
      <w:r>
        <w:rPr>
          <w:rFonts w:eastAsia="PMingLiU"/>
          <w:szCs w:val="20"/>
          <w:lang w:eastAsia="zh-TW"/>
        </w:rPr>
        <w:t xml:space="preserve"> </w:t>
      </w:r>
      <w:r w:rsidRPr="00A81B3D">
        <w:rPr>
          <w:rFonts w:eastAsia="PMingLiU"/>
          <w:szCs w:val="20"/>
          <w:lang w:eastAsia="zh-TW"/>
        </w:rPr>
        <w:t xml:space="preserve">Exploring Data on Policy and Management Consultancies in Canada." </w:t>
      </w:r>
      <w:r w:rsidRPr="00A81B3D">
        <w:rPr>
          <w:rFonts w:eastAsia="PMingLiU"/>
          <w:i/>
          <w:szCs w:val="20"/>
          <w:lang w:eastAsia="zh-TW"/>
        </w:rPr>
        <w:t>Canadian Public Administration</w:t>
      </w:r>
      <w:r w:rsidRPr="00A81B3D">
        <w:rPr>
          <w:rFonts w:eastAsia="PMingLiU"/>
          <w:szCs w:val="20"/>
          <w:lang w:eastAsia="zh-TW"/>
        </w:rPr>
        <w:t xml:space="preserve"> 57(2)</w:t>
      </w:r>
      <w:r>
        <w:rPr>
          <w:rFonts w:eastAsia="PMingLiU"/>
          <w:szCs w:val="20"/>
          <w:lang w:eastAsia="zh-TW"/>
        </w:rPr>
        <w:t>: 183-216.</w:t>
      </w:r>
    </w:p>
    <w:p w14:paraId="22BDCAF8" w14:textId="77777777" w:rsidR="00350C62" w:rsidRDefault="00350C62" w:rsidP="00BD2820">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eastAsia="PMingLiU"/>
          <w:szCs w:val="20"/>
          <w:lang w:eastAsia="zh-TW"/>
        </w:rPr>
      </w:pPr>
      <w:r w:rsidRPr="00350C62">
        <w:rPr>
          <w:rFonts w:eastAsia="PMingLiU"/>
          <w:szCs w:val="20"/>
          <w:lang w:eastAsia="zh-TW"/>
        </w:rPr>
        <w:t>Howlett, M</w:t>
      </w:r>
      <w:r>
        <w:rPr>
          <w:rFonts w:eastAsia="PMingLiU"/>
          <w:szCs w:val="20"/>
          <w:lang w:eastAsia="zh-TW"/>
        </w:rPr>
        <w:t xml:space="preserve">. </w:t>
      </w:r>
      <w:r w:rsidRPr="00350C62">
        <w:rPr>
          <w:rFonts w:eastAsia="PMingLiU"/>
          <w:szCs w:val="20"/>
          <w:lang w:eastAsia="zh-TW"/>
        </w:rPr>
        <w:t xml:space="preserve">and </w:t>
      </w:r>
      <w:r>
        <w:rPr>
          <w:rFonts w:eastAsia="PMingLiU"/>
          <w:szCs w:val="20"/>
          <w:lang w:eastAsia="zh-TW"/>
        </w:rPr>
        <w:t>J. Newman. 2010.</w:t>
      </w:r>
      <w:r w:rsidRPr="00350C62">
        <w:rPr>
          <w:rFonts w:eastAsia="PMingLiU"/>
          <w:szCs w:val="20"/>
          <w:lang w:eastAsia="zh-TW"/>
        </w:rPr>
        <w:t xml:space="preserve"> </w:t>
      </w:r>
      <w:r>
        <w:rPr>
          <w:rFonts w:eastAsia="PMingLiU"/>
          <w:szCs w:val="20"/>
          <w:lang w:eastAsia="zh-TW"/>
        </w:rPr>
        <w:t>“</w:t>
      </w:r>
      <w:r w:rsidRPr="00350C62">
        <w:rPr>
          <w:rFonts w:eastAsia="PMingLiU"/>
          <w:szCs w:val="20"/>
          <w:lang w:eastAsia="zh-TW"/>
        </w:rPr>
        <w:t xml:space="preserve">Policy </w:t>
      </w:r>
      <w:r>
        <w:rPr>
          <w:rFonts w:eastAsia="PMingLiU"/>
          <w:szCs w:val="20"/>
          <w:lang w:eastAsia="zh-TW"/>
        </w:rPr>
        <w:t>Analysis and Policy Work i</w:t>
      </w:r>
      <w:r w:rsidRPr="00350C62">
        <w:rPr>
          <w:rFonts w:eastAsia="PMingLiU"/>
          <w:szCs w:val="20"/>
          <w:lang w:eastAsia="zh-TW"/>
        </w:rPr>
        <w:t xml:space="preserve">n </w:t>
      </w:r>
      <w:r>
        <w:rPr>
          <w:rFonts w:eastAsia="PMingLiU"/>
          <w:szCs w:val="20"/>
          <w:lang w:eastAsia="zh-TW"/>
        </w:rPr>
        <w:t>Federal Systems: Policy Advice and its Contribution to Evidence-Based Policy-Making i</w:t>
      </w:r>
      <w:r w:rsidRPr="00350C62">
        <w:rPr>
          <w:rFonts w:eastAsia="PMingLiU"/>
          <w:szCs w:val="20"/>
          <w:lang w:eastAsia="zh-TW"/>
        </w:rPr>
        <w:t>n Multi-Level Governance Systems.</w:t>
      </w:r>
      <w:r>
        <w:rPr>
          <w:rFonts w:eastAsia="PMingLiU"/>
          <w:szCs w:val="20"/>
          <w:lang w:eastAsia="zh-TW"/>
        </w:rPr>
        <w:t>”</w:t>
      </w:r>
      <w:r w:rsidRPr="00350C62">
        <w:rPr>
          <w:rFonts w:eastAsia="PMingLiU"/>
          <w:szCs w:val="20"/>
          <w:lang w:eastAsia="zh-TW"/>
        </w:rPr>
        <w:t xml:space="preserve"> </w:t>
      </w:r>
      <w:r w:rsidRPr="00350C62">
        <w:rPr>
          <w:rFonts w:eastAsia="PMingLiU"/>
          <w:i/>
          <w:szCs w:val="20"/>
          <w:lang w:eastAsia="zh-TW"/>
        </w:rPr>
        <w:t>Policy and Society</w:t>
      </w:r>
      <w:r>
        <w:rPr>
          <w:rFonts w:eastAsia="PMingLiU"/>
          <w:szCs w:val="20"/>
          <w:lang w:eastAsia="zh-TW"/>
        </w:rPr>
        <w:t xml:space="preserve"> 29(</w:t>
      </w:r>
      <w:r w:rsidRPr="00350C62">
        <w:rPr>
          <w:rFonts w:eastAsia="PMingLiU"/>
          <w:szCs w:val="20"/>
          <w:lang w:eastAsia="zh-TW"/>
        </w:rPr>
        <w:t>2</w:t>
      </w:r>
      <w:r>
        <w:rPr>
          <w:rFonts w:eastAsia="PMingLiU"/>
          <w:szCs w:val="20"/>
          <w:lang w:eastAsia="zh-TW"/>
        </w:rPr>
        <w:t>)</w:t>
      </w:r>
      <w:r w:rsidRPr="00350C62">
        <w:rPr>
          <w:rFonts w:eastAsia="PMingLiU"/>
          <w:szCs w:val="20"/>
          <w:lang w:eastAsia="zh-TW"/>
        </w:rPr>
        <w:t>: 123-136</w:t>
      </w:r>
    </w:p>
    <w:p w14:paraId="66204E67" w14:textId="77777777" w:rsidR="00472323" w:rsidRDefault="00B218B4" w:rsidP="00BD2820">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eastAsia="PMingLiU"/>
          <w:szCs w:val="20"/>
          <w:lang w:eastAsia="zh-TW"/>
        </w:rPr>
      </w:pPr>
      <w:r w:rsidRPr="00B218B4">
        <w:rPr>
          <w:rFonts w:eastAsia="PMingLiU"/>
          <w:szCs w:val="20"/>
          <w:lang w:eastAsia="zh-TW"/>
        </w:rPr>
        <w:t>Jennings</w:t>
      </w:r>
      <w:r w:rsidR="00472323">
        <w:rPr>
          <w:rFonts w:eastAsia="PMingLiU"/>
          <w:szCs w:val="20"/>
          <w:lang w:eastAsia="zh-TW"/>
        </w:rPr>
        <w:t>,</w:t>
      </w:r>
      <w:r w:rsidRPr="00B218B4">
        <w:rPr>
          <w:rFonts w:eastAsia="PMingLiU"/>
          <w:szCs w:val="20"/>
          <w:lang w:eastAsia="zh-TW"/>
        </w:rPr>
        <w:t xml:space="preserve"> </w:t>
      </w:r>
      <w:r>
        <w:rPr>
          <w:rFonts w:eastAsia="PMingLiU"/>
          <w:szCs w:val="20"/>
          <w:lang w:eastAsia="zh-TW"/>
        </w:rPr>
        <w:t>E.T.</w:t>
      </w:r>
      <w:r w:rsidR="00904713">
        <w:rPr>
          <w:rFonts w:eastAsia="PMingLiU"/>
          <w:szCs w:val="20"/>
          <w:lang w:eastAsia="zh-TW"/>
        </w:rPr>
        <w:t xml:space="preserve"> and</w:t>
      </w:r>
      <w:r w:rsidRPr="00B218B4">
        <w:rPr>
          <w:rFonts w:eastAsia="PMingLiU"/>
          <w:szCs w:val="20"/>
          <w:lang w:eastAsia="zh-TW"/>
        </w:rPr>
        <w:t xml:space="preserve"> J</w:t>
      </w:r>
      <w:r>
        <w:rPr>
          <w:rFonts w:eastAsia="PMingLiU"/>
          <w:szCs w:val="20"/>
          <w:lang w:eastAsia="zh-TW"/>
        </w:rPr>
        <w:t>.</w:t>
      </w:r>
      <w:r w:rsidRPr="00B218B4">
        <w:rPr>
          <w:rFonts w:eastAsia="PMingLiU"/>
          <w:szCs w:val="20"/>
          <w:lang w:eastAsia="zh-TW"/>
        </w:rPr>
        <w:t>L.</w:t>
      </w:r>
      <w:r w:rsidR="00472323">
        <w:rPr>
          <w:rFonts w:eastAsia="PMingLiU"/>
          <w:szCs w:val="20"/>
          <w:lang w:eastAsia="zh-TW"/>
        </w:rPr>
        <w:t>,</w:t>
      </w:r>
      <w:r w:rsidRPr="00B218B4">
        <w:rPr>
          <w:rFonts w:eastAsia="PMingLiU"/>
          <w:szCs w:val="20"/>
          <w:lang w:eastAsia="zh-TW"/>
        </w:rPr>
        <w:t xml:space="preserve"> Hall</w:t>
      </w:r>
      <w:r>
        <w:rPr>
          <w:rFonts w:eastAsia="PMingLiU"/>
          <w:szCs w:val="20"/>
          <w:lang w:eastAsia="zh-TW"/>
        </w:rPr>
        <w:t xml:space="preserve"> 2012. “</w:t>
      </w:r>
      <w:r w:rsidRPr="00B218B4">
        <w:rPr>
          <w:rFonts w:eastAsia="PMingLiU"/>
          <w:szCs w:val="20"/>
          <w:lang w:eastAsia="zh-TW"/>
        </w:rPr>
        <w:t>Evidence-Based Practice and the Use of Information in State Agency Decision Making</w:t>
      </w:r>
      <w:r>
        <w:rPr>
          <w:rFonts w:eastAsia="PMingLiU"/>
          <w:szCs w:val="20"/>
          <w:lang w:eastAsia="zh-TW"/>
        </w:rPr>
        <w:t xml:space="preserve">.” </w:t>
      </w:r>
      <w:r w:rsidRPr="00B218B4">
        <w:rPr>
          <w:rFonts w:eastAsia="PMingLiU"/>
          <w:i/>
          <w:szCs w:val="20"/>
          <w:lang w:eastAsia="zh-TW"/>
        </w:rPr>
        <w:t>Journal of Public Administration Research Theory</w:t>
      </w:r>
      <w:r>
        <w:rPr>
          <w:rFonts w:eastAsia="PMingLiU"/>
          <w:szCs w:val="20"/>
          <w:lang w:eastAsia="zh-TW"/>
        </w:rPr>
        <w:t xml:space="preserve"> 22(2): 245-266.</w:t>
      </w:r>
    </w:p>
    <w:p w14:paraId="006CBC1C" w14:textId="77777777" w:rsidR="00BD2820" w:rsidRDefault="00472323" w:rsidP="00BD2820">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eastAsia="PMingLiU"/>
          <w:szCs w:val="20"/>
          <w:lang w:eastAsia="zh-TW"/>
        </w:rPr>
      </w:pPr>
      <w:r>
        <w:rPr>
          <w:rFonts w:eastAsia="PMingLiU"/>
          <w:szCs w:val="20"/>
          <w:lang w:eastAsia="zh-TW"/>
        </w:rPr>
        <w:t xml:space="preserve">Khan, S. </w:t>
      </w:r>
      <w:r>
        <w:rPr>
          <w:rFonts w:eastAsia="PMingLiU"/>
          <w:i/>
          <w:szCs w:val="20"/>
          <w:lang w:eastAsia="zh-TW"/>
        </w:rPr>
        <w:t>et al</w:t>
      </w:r>
      <w:r>
        <w:rPr>
          <w:rFonts w:eastAsia="PMingLiU"/>
          <w:szCs w:val="20"/>
          <w:lang w:eastAsia="zh-TW"/>
        </w:rPr>
        <w:t xml:space="preserve"> 2014. “</w:t>
      </w:r>
      <w:r w:rsidRPr="00472323">
        <w:rPr>
          <w:rFonts w:eastAsia="PMingLiU"/>
          <w:szCs w:val="20"/>
          <w:lang w:eastAsia="zh-TW"/>
        </w:rPr>
        <w:t>The Ontario Drug Policy Research Network: Bridging the gap between Research and Drug Polic</w:t>
      </w:r>
      <w:r>
        <w:rPr>
          <w:rFonts w:eastAsia="PMingLiU"/>
          <w:szCs w:val="20"/>
          <w:lang w:eastAsia="zh-TW"/>
        </w:rPr>
        <w:t xml:space="preserve">y.” </w:t>
      </w:r>
      <w:r>
        <w:rPr>
          <w:rFonts w:eastAsia="PMingLiU"/>
          <w:i/>
          <w:szCs w:val="20"/>
          <w:lang w:eastAsia="zh-TW"/>
        </w:rPr>
        <w:t>Health Policy</w:t>
      </w:r>
      <w:r>
        <w:rPr>
          <w:rFonts w:eastAsia="PMingLiU"/>
          <w:szCs w:val="20"/>
          <w:lang w:eastAsia="zh-TW"/>
        </w:rPr>
        <w:t xml:space="preserve"> 117(3): 392-398.</w:t>
      </w:r>
    </w:p>
    <w:p w14:paraId="667926DB" w14:textId="77777777" w:rsidR="00BD2820" w:rsidRPr="00BD2820" w:rsidRDefault="00BD2820" w:rsidP="00BD2820">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eastAsia="PMingLiU"/>
          <w:szCs w:val="20"/>
          <w:lang w:eastAsia="zh-TW"/>
        </w:rPr>
      </w:pPr>
      <w:r w:rsidRPr="000328CC">
        <w:rPr>
          <w:rFonts w:eastAsia="PMingLiU"/>
          <w:szCs w:val="20"/>
          <w:lang w:eastAsia="zh-TW"/>
        </w:rPr>
        <w:lastRenderedPageBreak/>
        <w:t>Knight, C. and C. Lyall 2013.</w:t>
      </w:r>
      <w:r>
        <w:rPr>
          <w:rFonts w:eastAsia="PMingLiU"/>
          <w:szCs w:val="20"/>
          <w:lang w:eastAsia="zh-TW"/>
        </w:rPr>
        <w:t xml:space="preserve"> "Knowledge Brokers: The R</w:t>
      </w:r>
      <w:r w:rsidRPr="00BD2820">
        <w:rPr>
          <w:rFonts w:eastAsia="PMingLiU"/>
          <w:szCs w:val="20"/>
          <w:lang w:eastAsia="zh-TW"/>
        </w:rPr>
        <w:t>ole</w:t>
      </w:r>
      <w:r>
        <w:rPr>
          <w:rFonts w:eastAsia="PMingLiU"/>
          <w:szCs w:val="20"/>
          <w:lang w:eastAsia="zh-TW"/>
        </w:rPr>
        <w:t xml:space="preserve"> of Intermediaries in Producing R</w:t>
      </w:r>
      <w:r w:rsidRPr="00BD2820">
        <w:rPr>
          <w:rFonts w:eastAsia="PMingLiU"/>
          <w:szCs w:val="20"/>
          <w:lang w:eastAsia="zh-TW"/>
        </w:rPr>
        <w:t>esea</w:t>
      </w:r>
      <w:r>
        <w:rPr>
          <w:rFonts w:eastAsia="PMingLiU"/>
          <w:szCs w:val="20"/>
          <w:lang w:eastAsia="zh-TW"/>
        </w:rPr>
        <w:t xml:space="preserve">rch Impact." </w:t>
      </w:r>
      <w:r w:rsidRPr="00BD2820">
        <w:rPr>
          <w:rFonts w:eastAsia="PMingLiU"/>
          <w:i/>
          <w:szCs w:val="20"/>
          <w:lang w:eastAsia="zh-TW"/>
        </w:rPr>
        <w:t>Evidence &amp; Policy</w:t>
      </w:r>
      <w:r>
        <w:rPr>
          <w:rFonts w:eastAsia="PMingLiU"/>
          <w:szCs w:val="20"/>
          <w:lang w:eastAsia="zh-TW"/>
        </w:rPr>
        <w:t xml:space="preserve"> </w:t>
      </w:r>
      <w:r w:rsidRPr="00BD2820">
        <w:rPr>
          <w:rFonts w:eastAsia="PMingLiU"/>
          <w:szCs w:val="20"/>
          <w:lang w:eastAsia="zh-TW"/>
        </w:rPr>
        <w:t>9(3): 309-316.</w:t>
      </w:r>
    </w:p>
    <w:p w14:paraId="50D4919A" w14:textId="77777777" w:rsidR="00472323" w:rsidRDefault="00BD2820" w:rsidP="00BD2820">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eastAsia="PMingLiU"/>
          <w:szCs w:val="20"/>
          <w:lang w:eastAsia="zh-TW"/>
        </w:rPr>
      </w:pPr>
      <w:r w:rsidRPr="000328CC">
        <w:rPr>
          <w:rFonts w:eastAsia="PMingLiU"/>
          <w:szCs w:val="20"/>
          <w:lang w:eastAsia="zh-TW"/>
        </w:rPr>
        <w:t>Lightowler, C. and C. Knight 2013.</w:t>
      </w:r>
      <w:r>
        <w:rPr>
          <w:rFonts w:eastAsia="PMingLiU"/>
          <w:szCs w:val="20"/>
          <w:lang w:eastAsia="zh-TW"/>
        </w:rPr>
        <w:t xml:space="preserve"> "Sustaining K</w:t>
      </w:r>
      <w:r w:rsidRPr="00BD2820">
        <w:rPr>
          <w:rFonts w:eastAsia="PMingLiU"/>
          <w:szCs w:val="20"/>
          <w:lang w:eastAsia="zh-TW"/>
        </w:rPr>
        <w:t xml:space="preserve">nowledge </w:t>
      </w:r>
      <w:r>
        <w:rPr>
          <w:rFonts w:eastAsia="PMingLiU"/>
          <w:szCs w:val="20"/>
          <w:lang w:eastAsia="zh-TW"/>
        </w:rPr>
        <w:t>Exchange and Research Impact in the Social Sciences and Humanities: Investing in Knowledge B</w:t>
      </w:r>
      <w:r w:rsidRPr="00BD2820">
        <w:rPr>
          <w:rFonts w:eastAsia="PMingLiU"/>
          <w:szCs w:val="20"/>
          <w:lang w:eastAsia="zh-TW"/>
        </w:rPr>
        <w:t>r</w:t>
      </w:r>
      <w:r>
        <w:rPr>
          <w:rFonts w:eastAsia="PMingLiU"/>
          <w:szCs w:val="20"/>
          <w:lang w:eastAsia="zh-TW"/>
        </w:rPr>
        <w:t xml:space="preserve">oker Roles in UK Universities." </w:t>
      </w:r>
      <w:r w:rsidRPr="00BD2820">
        <w:rPr>
          <w:rFonts w:eastAsia="PMingLiU"/>
          <w:i/>
          <w:szCs w:val="20"/>
          <w:lang w:eastAsia="zh-TW"/>
        </w:rPr>
        <w:t>Evidence &amp; Policy</w:t>
      </w:r>
      <w:r w:rsidRPr="00BD2820">
        <w:rPr>
          <w:rFonts w:eastAsia="PMingLiU"/>
          <w:szCs w:val="20"/>
          <w:lang w:eastAsia="zh-TW"/>
        </w:rPr>
        <w:t xml:space="preserve"> 9(3): 317-334</w:t>
      </w:r>
      <w:r w:rsidR="00071CC6">
        <w:rPr>
          <w:rFonts w:eastAsia="PMingLiU"/>
          <w:szCs w:val="20"/>
          <w:lang w:eastAsia="zh-TW"/>
        </w:rPr>
        <w:t>.</w:t>
      </w:r>
    </w:p>
    <w:p w14:paraId="05E2916C" w14:textId="77777777" w:rsidR="00071CC6" w:rsidRDefault="00071CC6" w:rsidP="00BD2820">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eastAsia="PMingLiU"/>
          <w:szCs w:val="20"/>
          <w:lang w:eastAsia="zh-TW"/>
        </w:rPr>
      </w:pPr>
      <w:r w:rsidRPr="00071CC6">
        <w:rPr>
          <w:rFonts w:eastAsia="PMingLiU"/>
          <w:szCs w:val="20"/>
          <w:lang w:eastAsia="zh-TW"/>
        </w:rPr>
        <w:t xml:space="preserve">Likens, G. 2010. </w:t>
      </w:r>
      <w:r>
        <w:rPr>
          <w:rFonts w:eastAsia="PMingLiU"/>
          <w:szCs w:val="20"/>
          <w:lang w:eastAsia="zh-TW"/>
        </w:rPr>
        <w:t>“</w:t>
      </w:r>
      <w:r w:rsidRPr="00071CC6">
        <w:rPr>
          <w:rFonts w:eastAsia="PMingLiU"/>
          <w:szCs w:val="20"/>
          <w:lang w:eastAsia="zh-TW"/>
        </w:rPr>
        <w:t xml:space="preserve">The </w:t>
      </w:r>
      <w:r>
        <w:rPr>
          <w:rFonts w:eastAsia="PMingLiU"/>
          <w:szCs w:val="20"/>
          <w:lang w:eastAsia="zh-TW"/>
        </w:rPr>
        <w:t>Role of Science i</w:t>
      </w:r>
      <w:r w:rsidRPr="00071CC6">
        <w:rPr>
          <w:rFonts w:eastAsia="PMingLiU"/>
          <w:szCs w:val="20"/>
          <w:lang w:eastAsia="zh-TW"/>
        </w:rPr>
        <w:t>n Decision Making: Does Evidence-Based Science Drive Environmental Policy?</w:t>
      </w:r>
      <w:r>
        <w:rPr>
          <w:rFonts w:eastAsia="PMingLiU"/>
          <w:szCs w:val="20"/>
          <w:lang w:eastAsia="zh-TW"/>
        </w:rPr>
        <w:t>”</w:t>
      </w:r>
      <w:r w:rsidRPr="00071CC6">
        <w:rPr>
          <w:rFonts w:eastAsia="PMingLiU"/>
          <w:szCs w:val="20"/>
          <w:lang w:eastAsia="zh-TW"/>
        </w:rPr>
        <w:t xml:space="preserve"> </w:t>
      </w:r>
      <w:r w:rsidRPr="00071CC6">
        <w:rPr>
          <w:rFonts w:eastAsia="PMingLiU"/>
          <w:i/>
          <w:szCs w:val="20"/>
          <w:lang w:eastAsia="zh-TW"/>
        </w:rPr>
        <w:t>Frontiers in Ecology and the Environment</w:t>
      </w:r>
      <w:r w:rsidRPr="00071CC6">
        <w:rPr>
          <w:rFonts w:eastAsia="PMingLiU"/>
          <w:szCs w:val="20"/>
          <w:lang w:eastAsia="zh-TW"/>
        </w:rPr>
        <w:t xml:space="preserve"> 8(6</w:t>
      </w:r>
      <w:proofErr w:type="gramStart"/>
      <w:r w:rsidRPr="00071CC6">
        <w:rPr>
          <w:rFonts w:eastAsia="PMingLiU"/>
          <w:szCs w:val="20"/>
          <w:lang w:eastAsia="zh-TW"/>
        </w:rPr>
        <w:t>):e</w:t>
      </w:r>
      <w:proofErr w:type="gramEnd"/>
      <w:r w:rsidRPr="00071CC6">
        <w:rPr>
          <w:rFonts w:eastAsia="PMingLiU"/>
          <w:szCs w:val="20"/>
          <w:lang w:eastAsia="zh-TW"/>
        </w:rPr>
        <w:t>1–e9.</w:t>
      </w:r>
    </w:p>
    <w:p w14:paraId="5FF192DB" w14:textId="77777777" w:rsidR="00071CC6" w:rsidRDefault="00071CC6" w:rsidP="00BD2820">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eastAsia="PMingLiU"/>
          <w:szCs w:val="20"/>
          <w:lang w:eastAsia="zh-TW"/>
        </w:rPr>
      </w:pPr>
      <w:r w:rsidRPr="00071CC6">
        <w:rPr>
          <w:rFonts w:eastAsia="PMingLiU"/>
          <w:szCs w:val="20"/>
          <w:lang w:eastAsia="zh-TW"/>
        </w:rPr>
        <w:t>Lingard, B</w:t>
      </w:r>
      <w:r>
        <w:rPr>
          <w:rFonts w:eastAsia="PMingLiU"/>
          <w:szCs w:val="20"/>
          <w:lang w:eastAsia="zh-TW"/>
        </w:rPr>
        <w:t>. 2013.</w:t>
      </w:r>
      <w:r w:rsidRPr="00071CC6">
        <w:rPr>
          <w:rFonts w:eastAsia="PMingLiU"/>
          <w:szCs w:val="20"/>
          <w:lang w:eastAsia="zh-TW"/>
        </w:rPr>
        <w:t xml:space="preserve"> </w:t>
      </w:r>
      <w:r>
        <w:rPr>
          <w:rFonts w:eastAsia="PMingLiU"/>
          <w:szCs w:val="20"/>
          <w:lang w:eastAsia="zh-TW"/>
        </w:rPr>
        <w:t>“The I</w:t>
      </w:r>
      <w:r w:rsidRPr="00071CC6">
        <w:rPr>
          <w:rFonts w:eastAsia="PMingLiU"/>
          <w:szCs w:val="20"/>
          <w:lang w:eastAsia="zh-TW"/>
        </w:rPr>
        <w:t>m</w:t>
      </w:r>
      <w:r>
        <w:rPr>
          <w:rFonts w:eastAsia="PMingLiU"/>
          <w:szCs w:val="20"/>
          <w:lang w:eastAsia="zh-TW"/>
        </w:rPr>
        <w:t>pact of Research on Education Policy in an Era of Evidence-based P</w:t>
      </w:r>
      <w:r w:rsidRPr="00071CC6">
        <w:rPr>
          <w:rFonts w:eastAsia="PMingLiU"/>
          <w:szCs w:val="20"/>
          <w:lang w:eastAsia="zh-TW"/>
        </w:rPr>
        <w:t>olicy.</w:t>
      </w:r>
      <w:r>
        <w:rPr>
          <w:rFonts w:eastAsia="PMingLiU"/>
          <w:szCs w:val="20"/>
          <w:lang w:eastAsia="zh-TW"/>
        </w:rPr>
        <w:t>”</w:t>
      </w:r>
      <w:r w:rsidRPr="00071CC6">
        <w:rPr>
          <w:rFonts w:eastAsia="PMingLiU"/>
          <w:szCs w:val="20"/>
          <w:lang w:eastAsia="zh-TW"/>
        </w:rPr>
        <w:t xml:space="preserve"> </w:t>
      </w:r>
      <w:r w:rsidRPr="00071CC6">
        <w:rPr>
          <w:rFonts w:eastAsia="PMingLiU"/>
          <w:i/>
          <w:szCs w:val="20"/>
          <w:lang w:eastAsia="zh-TW"/>
        </w:rPr>
        <w:t>Critical Studies in Education</w:t>
      </w:r>
      <w:r>
        <w:rPr>
          <w:rFonts w:eastAsia="PMingLiU"/>
          <w:szCs w:val="20"/>
          <w:lang w:eastAsia="zh-TW"/>
        </w:rPr>
        <w:t xml:space="preserve"> 54(</w:t>
      </w:r>
      <w:r w:rsidRPr="00071CC6">
        <w:rPr>
          <w:rFonts w:eastAsia="PMingLiU"/>
          <w:szCs w:val="20"/>
          <w:lang w:eastAsia="zh-TW"/>
        </w:rPr>
        <w:t>2</w:t>
      </w:r>
      <w:r>
        <w:rPr>
          <w:rFonts w:eastAsia="PMingLiU"/>
          <w:szCs w:val="20"/>
          <w:lang w:eastAsia="zh-TW"/>
        </w:rPr>
        <w:t>)</w:t>
      </w:r>
      <w:r w:rsidRPr="00071CC6">
        <w:rPr>
          <w:rFonts w:eastAsia="PMingLiU"/>
          <w:szCs w:val="20"/>
          <w:lang w:eastAsia="zh-TW"/>
        </w:rPr>
        <w:t>: 113-131</w:t>
      </w:r>
      <w:r>
        <w:rPr>
          <w:rFonts w:eastAsia="PMingLiU"/>
          <w:szCs w:val="20"/>
          <w:lang w:eastAsia="zh-TW"/>
        </w:rPr>
        <w:t>.</w:t>
      </w:r>
    </w:p>
    <w:p w14:paraId="519BC55B" w14:textId="77777777" w:rsidR="00880A8D" w:rsidRDefault="00880A8D" w:rsidP="009A3D6C">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eastAsia="PMingLiU"/>
          <w:szCs w:val="20"/>
          <w:lang w:eastAsia="zh-TW"/>
        </w:rPr>
      </w:pPr>
      <w:r>
        <w:rPr>
          <w:rFonts w:eastAsia="PMingLiU"/>
          <w:szCs w:val="20"/>
          <w:lang w:eastAsia="zh-TW"/>
        </w:rPr>
        <w:t>Newman, J. 2014. “Revisiting the ‘Two Communities’ Metaphor of Research Utilisation.”</w:t>
      </w:r>
      <w:r w:rsidRPr="00880A8D">
        <w:rPr>
          <w:rFonts w:eastAsia="PMingLiU"/>
          <w:szCs w:val="20"/>
          <w:lang w:eastAsia="zh-TW"/>
        </w:rPr>
        <w:t xml:space="preserve"> </w:t>
      </w:r>
      <w:r w:rsidRPr="00880A8D">
        <w:rPr>
          <w:rFonts w:eastAsia="PMingLiU"/>
          <w:i/>
          <w:szCs w:val="20"/>
          <w:lang w:eastAsia="zh-TW"/>
        </w:rPr>
        <w:t>International Jou</w:t>
      </w:r>
      <w:r>
        <w:rPr>
          <w:rFonts w:eastAsia="PMingLiU"/>
          <w:i/>
          <w:szCs w:val="20"/>
          <w:lang w:eastAsia="zh-TW"/>
        </w:rPr>
        <w:t>rnal of Public Sector Management</w:t>
      </w:r>
      <w:r>
        <w:rPr>
          <w:rFonts w:eastAsia="PMingLiU"/>
          <w:szCs w:val="20"/>
          <w:lang w:eastAsia="zh-TW"/>
        </w:rPr>
        <w:t xml:space="preserve"> 27</w:t>
      </w:r>
      <w:r w:rsidRPr="00880A8D">
        <w:rPr>
          <w:rFonts w:eastAsia="PMingLiU"/>
          <w:szCs w:val="20"/>
          <w:lang w:eastAsia="zh-TW"/>
        </w:rPr>
        <w:t>(7): 614-627</w:t>
      </w:r>
      <w:r>
        <w:rPr>
          <w:rFonts w:eastAsia="PMingLiU"/>
          <w:szCs w:val="20"/>
          <w:lang w:eastAsia="zh-TW"/>
        </w:rPr>
        <w:t>.</w:t>
      </w:r>
    </w:p>
    <w:p w14:paraId="5FEF202E" w14:textId="77777777" w:rsidR="004C5B84" w:rsidRDefault="000328CC" w:rsidP="00301515">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eastAsia="PMingLiU"/>
          <w:szCs w:val="20"/>
          <w:lang w:eastAsia="zh-TW"/>
        </w:rPr>
      </w:pPr>
      <w:r>
        <w:rPr>
          <w:rFonts w:eastAsia="PMingLiU"/>
          <w:szCs w:val="20"/>
          <w:lang w:eastAsia="zh-TW"/>
        </w:rPr>
        <w:t>V</w:t>
      </w:r>
      <w:r w:rsidR="000D791D">
        <w:rPr>
          <w:rFonts w:eastAsia="PMingLiU"/>
          <w:szCs w:val="20"/>
          <w:lang w:eastAsia="zh-TW"/>
        </w:rPr>
        <w:t>an der Arend, J. 2014. “Bridging the Research/Policy G</w:t>
      </w:r>
      <w:r w:rsidR="000D791D" w:rsidRPr="000D791D">
        <w:rPr>
          <w:rFonts w:eastAsia="PMingLiU"/>
          <w:szCs w:val="20"/>
          <w:lang w:eastAsia="zh-TW"/>
        </w:rPr>
        <w:t xml:space="preserve">ap: </w:t>
      </w:r>
      <w:r w:rsidR="000D791D">
        <w:rPr>
          <w:rFonts w:eastAsia="PMingLiU"/>
          <w:szCs w:val="20"/>
          <w:lang w:eastAsia="zh-TW"/>
        </w:rPr>
        <w:t>Policy Officials' Perspectives on the Barriers and Facilitators t</w:t>
      </w:r>
      <w:r w:rsidR="000D791D" w:rsidRPr="000D791D">
        <w:rPr>
          <w:rFonts w:eastAsia="PMingLiU"/>
          <w:szCs w:val="20"/>
          <w:lang w:eastAsia="zh-TW"/>
        </w:rPr>
        <w:t>o Ef</w:t>
      </w:r>
      <w:r w:rsidR="000D791D">
        <w:rPr>
          <w:rFonts w:eastAsia="PMingLiU"/>
          <w:szCs w:val="20"/>
          <w:lang w:eastAsia="zh-TW"/>
        </w:rPr>
        <w:t>fective Links Between Academic a</w:t>
      </w:r>
      <w:r w:rsidR="000D791D" w:rsidRPr="000D791D">
        <w:rPr>
          <w:rFonts w:eastAsia="PMingLiU"/>
          <w:szCs w:val="20"/>
          <w:lang w:eastAsia="zh-TW"/>
        </w:rPr>
        <w:t>nd Policy Worlds.</w:t>
      </w:r>
      <w:r w:rsidR="000D791D">
        <w:rPr>
          <w:rFonts w:eastAsia="PMingLiU"/>
          <w:szCs w:val="20"/>
          <w:lang w:eastAsia="zh-TW"/>
        </w:rPr>
        <w:t>”</w:t>
      </w:r>
      <w:r w:rsidR="000D791D" w:rsidRPr="000D791D">
        <w:rPr>
          <w:rFonts w:eastAsia="PMingLiU"/>
          <w:szCs w:val="20"/>
          <w:lang w:eastAsia="zh-TW"/>
        </w:rPr>
        <w:t xml:space="preserve"> </w:t>
      </w:r>
      <w:r w:rsidR="000D791D" w:rsidRPr="000D791D">
        <w:rPr>
          <w:rFonts w:eastAsia="PMingLiU"/>
          <w:i/>
          <w:szCs w:val="20"/>
          <w:lang w:eastAsia="zh-TW"/>
        </w:rPr>
        <w:t>Policy Studies</w:t>
      </w:r>
      <w:r w:rsidR="000D791D">
        <w:rPr>
          <w:rFonts w:eastAsia="PMingLiU"/>
          <w:szCs w:val="20"/>
          <w:lang w:eastAsia="zh-TW"/>
        </w:rPr>
        <w:t xml:space="preserve"> 35(</w:t>
      </w:r>
      <w:r w:rsidR="000D791D" w:rsidRPr="000D791D">
        <w:rPr>
          <w:rFonts w:eastAsia="PMingLiU"/>
          <w:szCs w:val="20"/>
          <w:lang w:eastAsia="zh-TW"/>
        </w:rPr>
        <w:t>6</w:t>
      </w:r>
      <w:r w:rsidR="000D791D">
        <w:rPr>
          <w:rFonts w:eastAsia="PMingLiU"/>
          <w:szCs w:val="20"/>
          <w:lang w:eastAsia="zh-TW"/>
        </w:rPr>
        <w:t>)</w:t>
      </w:r>
      <w:r w:rsidR="000D791D" w:rsidRPr="000D791D">
        <w:rPr>
          <w:rFonts w:eastAsia="PMingLiU"/>
          <w:szCs w:val="20"/>
          <w:lang w:eastAsia="zh-TW"/>
        </w:rPr>
        <w:t>: 611-630</w:t>
      </w:r>
      <w:r w:rsidR="00301515">
        <w:rPr>
          <w:rFonts w:eastAsia="PMingLiU"/>
          <w:szCs w:val="20"/>
          <w:lang w:eastAsia="zh-TW"/>
        </w:rPr>
        <w:t>.</w:t>
      </w:r>
    </w:p>
    <w:p w14:paraId="73B262AB" w14:textId="77777777" w:rsidR="00301515" w:rsidRDefault="00301515" w:rsidP="009A3D6C">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eastAsia="PMingLiU"/>
          <w:szCs w:val="20"/>
          <w:lang w:eastAsia="zh-TW"/>
        </w:rPr>
      </w:pPr>
      <w:r>
        <w:rPr>
          <w:rFonts w:eastAsia="PMingLiU"/>
          <w:szCs w:val="20"/>
          <w:lang w:eastAsia="zh-TW"/>
        </w:rPr>
        <w:t>Vishwanath B.V.</w:t>
      </w:r>
      <w:r w:rsidRPr="00301515">
        <w:rPr>
          <w:rFonts w:eastAsia="PMingLiU"/>
          <w:szCs w:val="20"/>
          <w:lang w:eastAsia="zh-TW"/>
        </w:rPr>
        <w:t xml:space="preserve">, </w:t>
      </w:r>
      <w:r>
        <w:rPr>
          <w:rFonts w:eastAsia="PMingLiU"/>
          <w:szCs w:val="20"/>
          <w:lang w:eastAsia="zh-TW"/>
        </w:rPr>
        <w:t xml:space="preserve">and </w:t>
      </w:r>
      <w:r w:rsidRPr="00301515">
        <w:rPr>
          <w:rFonts w:eastAsia="PMingLiU"/>
          <w:szCs w:val="20"/>
          <w:lang w:eastAsia="zh-TW"/>
        </w:rPr>
        <w:t>F</w:t>
      </w:r>
      <w:r>
        <w:rPr>
          <w:rFonts w:eastAsia="PMingLiU"/>
          <w:szCs w:val="20"/>
          <w:lang w:eastAsia="zh-TW"/>
        </w:rPr>
        <w:t>. Hakem Zadeh. 2012.</w:t>
      </w:r>
      <w:r w:rsidRPr="00301515">
        <w:rPr>
          <w:rFonts w:eastAsia="PMingLiU"/>
          <w:szCs w:val="20"/>
          <w:lang w:eastAsia="zh-TW"/>
        </w:rPr>
        <w:t xml:space="preserve"> "Toward a </w:t>
      </w:r>
      <w:r>
        <w:rPr>
          <w:rFonts w:eastAsia="PMingLiU"/>
          <w:szCs w:val="20"/>
          <w:lang w:eastAsia="zh-TW"/>
        </w:rPr>
        <w:t>Theory o</w:t>
      </w:r>
      <w:r w:rsidRPr="00301515">
        <w:rPr>
          <w:rFonts w:eastAsia="PMingLiU"/>
          <w:szCs w:val="20"/>
          <w:lang w:eastAsia="zh-TW"/>
        </w:rPr>
        <w:t>f Evidence Based Decisio</w:t>
      </w:r>
      <w:r>
        <w:rPr>
          <w:rFonts w:eastAsia="PMingLiU"/>
          <w:szCs w:val="20"/>
          <w:lang w:eastAsia="zh-TW"/>
        </w:rPr>
        <w:t xml:space="preserve">n Making." </w:t>
      </w:r>
      <w:r w:rsidRPr="00301515">
        <w:rPr>
          <w:rFonts w:eastAsia="PMingLiU"/>
          <w:i/>
          <w:szCs w:val="20"/>
          <w:lang w:eastAsia="zh-TW"/>
        </w:rPr>
        <w:t>Management Decision</w:t>
      </w:r>
      <w:r>
        <w:rPr>
          <w:rFonts w:eastAsia="PMingLiU"/>
          <w:szCs w:val="20"/>
          <w:lang w:eastAsia="zh-TW"/>
        </w:rPr>
        <w:t xml:space="preserve"> 50(5): </w:t>
      </w:r>
      <w:r w:rsidRPr="00301515">
        <w:rPr>
          <w:rFonts w:eastAsia="PMingLiU"/>
          <w:szCs w:val="20"/>
          <w:lang w:eastAsia="zh-TW"/>
        </w:rPr>
        <w:t xml:space="preserve">832 </w:t>
      </w:r>
      <w:r>
        <w:rPr>
          <w:rFonts w:eastAsia="PMingLiU"/>
          <w:szCs w:val="20"/>
          <w:lang w:eastAsia="zh-TW"/>
        </w:rPr>
        <w:t>–</w:t>
      </w:r>
      <w:r w:rsidRPr="00301515">
        <w:rPr>
          <w:rFonts w:eastAsia="PMingLiU"/>
          <w:szCs w:val="20"/>
          <w:lang w:eastAsia="zh-TW"/>
        </w:rPr>
        <w:t xml:space="preserve"> 867</w:t>
      </w:r>
      <w:r>
        <w:rPr>
          <w:rFonts w:eastAsia="PMingLiU"/>
          <w:szCs w:val="20"/>
          <w:lang w:eastAsia="zh-TW"/>
        </w:rPr>
        <w:t>.</w:t>
      </w:r>
    </w:p>
    <w:p w14:paraId="1D8031C9" w14:textId="77777777" w:rsidR="009A3D6C" w:rsidRPr="00A81B3D" w:rsidRDefault="00301515" w:rsidP="009A3D6C">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eastAsia="PMingLiU"/>
          <w:szCs w:val="20"/>
          <w:lang w:eastAsia="zh-TW"/>
        </w:rPr>
      </w:pPr>
      <w:r w:rsidRPr="000328CC">
        <w:rPr>
          <w:rFonts w:eastAsia="PMingLiU"/>
          <w:szCs w:val="20"/>
          <w:lang w:eastAsia="zh-TW"/>
        </w:rPr>
        <w:t>Ward, V., A. House, and S. Hamer. 2009</w:t>
      </w:r>
      <w:r w:rsidRPr="004C5B84">
        <w:rPr>
          <w:rFonts w:eastAsia="PMingLiU"/>
          <w:szCs w:val="20"/>
          <w:lang w:eastAsia="zh-TW"/>
        </w:rPr>
        <w:t xml:space="preserve">. </w:t>
      </w:r>
      <w:r>
        <w:rPr>
          <w:rFonts w:eastAsia="PMingLiU"/>
          <w:szCs w:val="20"/>
          <w:lang w:eastAsia="zh-TW"/>
        </w:rPr>
        <w:t>“Knowledge B</w:t>
      </w:r>
      <w:r w:rsidRPr="004C5B84">
        <w:rPr>
          <w:rFonts w:eastAsia="PMingLiU"/>
          <w:szCs w:val="20"/>
          <w:lang w:eastAsia="zh-TW"/>
        </w:rPr>
        <w:t>rokering: The Missing Lin</w:t>
      </w:r>
      <w:r>
        <w:rPr>
          <w:rFonts w:eastAsia="PMingLiU"/>
          <w:szCs w:val="20"/>
          <w:lang w:eastAsia="zh-TW"/>
        </w:rPr>
        <w:t>k in the Evidence t</w:t>
      </w:r>
      <w:r w:rsidRPr="004C5B84">
        <w:rPr>
          <w:rFonts w:eastAsia="PMingLiU"/>
          <w:szCs w:val="20"/>
          <w:lang w:eastAsia="zh-TW"/>
        </w:rPr>
        <w:t>o Action Chain?</w:t>
      </w:r>
      <w:r>
        <w:rPr>
          <w:rFonts w:eastAsia="PMingLiU"/>
          <w:szCs w:val="20"/>
          <w:lang w:eastAsia="zh-TW"/>
        </w:rPr>
        <w:t>”</w:t>
      </w:r>
      <w:r w:rsidRPr="004C5B84">
        <w:rPr>
          <w:rFonts w:eastAsia="PMingLiU"/>
          <w:szCs w:val="20"/>
          <w:lang w:eastAsia="zh-TW"/>
        </w:rPr>
        <w:t xml:space="preserve"> </w:t>
      </w:r>
      <w:r w:rsidRPr="004C5B84">
        <w:rPr>
          <w:rFonts w:eastAsia="PMingLiU"/>
          <w:i/>
          <w:szCs w:val="20"/>
          <w:lang w:eastAsia="zh-TW"/>
        </w:rPr>
        <w:t>Evidence &amp; Policy</w:t>
      </w:r>
      <w:r w:rsidRPr="004C5B84">
        <w:rPr>
          <w:rFonts w:eastAsia="PMingLiU"/>
          <w:szCs w:val="20"/>
          <w:lang w:eastAsia="zh-TW"/>
        </w:rPr>
        <w:t xml:space="preserve"> 5(3):</w:t>
      </w:r>
      <w:r>
        <w:rPr>
          <w:rFonts w:eastAsia="PMingLiU"/>
          <w:szCs w:val="20"/>
          <w:lang w:eastAsia="zh-TW"/>
        </w:rPr>
        <w:t xml:space="preserve"> </w:t>
      </w:r>
      <w:r w:rsidRPr="004C5B84">
        <w:rPr>
          <w:rFonts w:eastAsia="PMingLiU"/>
          <w:szCs w:val="20"/>
          <w:lang w:eastAsia="zh-TW"/>
        </w:rPr>
        <w:t>267–279</w:t>
      </w:r>
      <w:r>
        <w:rPr>
          <w:rFonts w:eastAsia="PMingLiU"/>
          <w:szCs w:val="20"/>
          <w:lang w:eastAsia="zh-TW"/>
        </w:rPr>
        <w:t>.</w:t>
      </w:r>
    </w:p>
    <w:p w14:paraId="5A02A2A4" w14:textId="77777777" w:rsidR="008E14DE" w:rsidRPr="008E14DE" w:rsidRDefault="008E14DE" w:rsidP="009A3D6C">
      <w:pPr>
        <w:ind w:left="709" w:hanging="709"/>
        <w:rPr>
          <w:b/>
        </w:rPr>
      </w:pPr>
    </w:p>
    <w:sectPr w:rsidR="008E14DE" w:rsidRPr="008E14DE" w:rsidSect="008E14DE">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9C3C2" w14:textId="77777777" w:rsidR="002345C5" w:rsidRDefault="002345C5">
      <w:r>
        <w:separator/>
      </w:r>
    </w:p>
  </w:endnote>
  <w:endnote w:type="continuationSeparator" w:id="0">
    <w:p w14:paraId="7377C90C" w14:textId="77777777" w:rsidR="002345C5" w:rsidRDefault="0023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87E95" w14:textId="77777777" w:rsidR="009B7614" w:rsidRDefault="009B7614" w:rsidP="0032320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B8CF757" w14:textId="77777777" w:rsidR="009B7614" w:rsidRDefault="009B7614" w:rsidP="00186B8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6CFAC" w14:textId="77777777" w:rsidR="009B7614" w:rsidRDefault="009B7614" w:rsidP="0032320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A6968">
      <w:rPr>
        <w:rStyle w:val="Numrodepage"/>
        <w:noProof/>
      </w:rPr>
      <w:t>1</w:t>
    </w:r>
    <w:r>
      <w:rPr>
        <w:rStyle w:val="Numrodepage"/>
      </w:rPr>
      <w:fldChar w:fldCharType="end"/>
    </w:r>
  </w:p>
  <w:p w14:paraId="6859D891" w14:textId="77777777" w:rsidR="009B7614" w:rsidRDefault="009B7614" w:rsidP="00186B89">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91B2E" w14:textId="77777777" w:rsidR="002345C5" w:rsidRDefault="002345C5">
      <w:r>
        <w:separator/>
      </w:r>
    </w:p>
  </w:footnote>
  <w:footnote w:type="continuationSeparator" w:id="0">
    <w:p w14:paraId="21CCAF93" w14:textId="77777777" w:rsidR="002345C5" w:rsidRDefault="002345C5">
      <w:r>
        <w:continuationSeparator/>
      </w:r>
    </w:p>
  </w:footnote>
  <w:footnote w:id="1">
    <w:p w14:paraId="054E226B" w14:textId="77777777" w:rsidR="009B7614" w:rsidRDefault="009B7614">
      <w:pPr>
        <w:pStyle w:val="Notedebasdepage"/>
      </w:pPr>
      <w:r>
        <w:rPr>
          <w:rStyle w:val="Appelnotedebasdep"/>
        </w:rPr>
        <w:footnoteRef/>
      </w:r>
      <w:r>
        <w:t xml:space="preserve"> </w:t>
      </w:r>
      <w:r w:rsidRPr="00214993">
        <w:t>The survey received over 2,200 responses but a large number came from the UAE. To obviate to this, all data that refers to the global survey has been weighed</w:t>
      </w:r>
      <w:r>
        <w:t>.</w:t>
      </w:r>
    </w:p>
  </w:footnote>
  <w:footnote w:id="2">
    <w:p w14:paraId="218B1E4B" w14:textId="77777777" w:rsidR="009B7614" w:rsidRPr="00420C69" w:rsidRDefault="009B7614" w:rsidP="00420C69">
      <w:pPr>
        <w:pStyle w:val="Notedefin"/>
        <w:rPr>
          <w:sz w:val="20"/>
        </w:rPr>
      </w:pPr>
      <w:r w:rsidRPr="00420C69">
        <w:rPr>
          <w:rStyle w:val="Appelnotedebasdep"/>
          <w:sz w:val="20"/>
        </w:rPr>
        <w:footnoteRef/>
      </w:r>
      <w:r w:rsidRPr="00420C69">
        <w:rPr>
          <w:sz w:val="20"/>
        </w:rPr>
        <w:t xml:space="preserve"> It should be noted that for the academics, the 1,654 surveys mailed out represent the total universe of tenured/tenure-track professors and fellows at Schools of Public Policy, Public Administration and in Departments of Political Science, Policy Studies and Public Administration in Canadian Universities.  Hence, the response rate over 22% allows us to be relatively confident in our reporting.</w:t>
      </w:r>
    </w:p>
    <w:p w14:paraId="7115D84B" w14:textId="77777777" w:rsidR="009B7614" w:rsidRDefault="009B7614">
      <w:pPr>
        <w:pStyle w:val="Notedebasdepage"/>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1570CF"/>
    <w:multiLevelType w:val="hybridMultilevel"/>
    <w:tmpl w:val="FAA40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5F42BBF"/>
    <w:multiLevelType w:val="hybridMultilevel"/>
    <w:tmpl w:val="1E10AFAC"/>
    <w:lvl w:ilvl="0" w:tplc="F91670A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406379"/>
    <w:multiLevelType w:val="hybridMultilevel"/>
    <w:tmpl w:val="B60C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B3"/>
    <w:rsid w:val="0000043C"/>
    <w:rsid w:val="00000D77"/>
    <w:rsid w:val="00011F44"/>
    <w:rsid w:val="000328CC"/>
    <w:rsid w:val="00071CC6"/>
    <w:rsid w:val="00084339"/>
    <w:rsid w:val="000A7052"/>
    <w:rsid w:val="000B03E1"/>
    <w:rsid w:val="000B1706"/>
    <w:rsid w:val="000D4FFA"/>
    <w:rsid w:val="000D791D"/>
    <w:rsid w:val="000E1FDA"/>
    <w:rsid w:val="000E2D5E"/>
    <w:rsid w:val="0010110B"/>
    <w:rsid w:val="0010172C"/>
    <w:rsid w:val="0012620E"/>
    <w:rsid w:val="00130D0A"/>
    <w:rsid w:val="001352DB"/>
    <w:rsid w:val="00135364"/>
    <w:rsid w:val="00142786"/>
    <w:rsid w:val="00164962"/>
    <w:rsid w:val="00186B89"/>
    <w:rsid w:val="00197698"/>
    <w:rsid w:val="001A5F34"/>
    <w:rsid w:val="001B1B68"/>
    <w:rsid w:val="001C5826"/>
    <w:rsid w:val="001C5BC4"/>
    <w:rsid w:val="001E36DE"/>
    <w:rsid w:val="001F1DF5"/>
    <w:rsid w:val="001F4617"/>
    <w:rsid w:val="001F4712"/>
    <w:rsid w:val="00210350"/>
    <w:rsid w:val="00214993"/>
    <w:rsid w:val="002215DD"/>
    <w:rsid w:val="00231296"/>
    <w:rsid w:val="002345C5"/>
    <w:rsid w:val="00264E40"/>
    <w:rsid w:val="002658EB"/>
    <w:rsid w:val="002763FE"/>
    <w:rsid w:val="00291C26"/>
    <w:rsid w:val="002B3C38"/>
    <w:rsid w:val="002B51EE"/>
    <w:rsid w:val="002C4F91"/>
    <w:rsid w:val="002C54AD"/>
    <w:rsid w:val="002C5923"/>
    <w:rsid w:val="002E1BD3"/>
    <w:rsid w:val="002E2A2B"/>
    <w:rsid w:val="002E306B"/>
    <w:rsid w:val="002F0F7C"/>
    <w:rsid w:val="00301515"/>
    <w:rsid w:val="00311F39"/>
    <w:rsid w:val="00323203"/>
    <w:rsid w:val="00327849"/>
    <w:rsid w:val="003315C8"/>
    <w:rsid w:val="00350C62"/>
    <w:rsid w:val="003610D1"/>
    <w:rsid w:val="0037552C"/>
    <w:rsid w:val="00394B81"/>
    <w:rsid w:val="003A6EAE"/>
    <w:rsid w:val="003B0FF4"/>
    <w:rsid w:val="003B2545"/>
    <w:rsid w:val="003B4583"/>
    <w:rsid w:val="003B60EF"/>
    <w:rsid w:val="003C3B2A"/>
    <w:rsid w:val="003D760D"/>
    <w:rsid w:val="003E0D4D"/>
    <w:rsid w:val="003F03B2"/>
    <w:rsid w:val="003F43B3"/>
    <w:rsid w:val="003F4AEE"/>
    <w:rsid w:val="00420C69"/>
    <w:rsid w:val="004318A3"/>
    <w:rsid w:val="0043331F"/>
    <w:rsid w:val="00434453"/>
    <w:rsid w:val="00451F47"/>
    <w:rsid w:val="00453D6A"/>
    <w:rsid w:val="00461CFA"/>
    <w:rsid w:val="00466BE9"/>
    <w:rsid w:val="00470249"/>
    <w:rsid w:val="00472323"/>
    <w:rsid w:val="00483156"/>
    <w:rsid w:val="004961A5"/>
    <w:rsid w:val="004A4441"/>
    <w:rsid w:val="004C34E0"/>
    <w:rsid w:val="004C5B84"/>
    <w:rsid w:val="004D137B"/>
    <w:rsid w:val="004E6F6B"/>
    <w:rsid w:val="00523EEE"/>
    <w:rsid w:val="0053040F"/>
    <w:rsid w:val="00535FB9"/>
    <w:rsid w:val="00566722"/>
    <w:rsid w:val="00571C2E"/>
    <w:rsid w:val="005B0F4B"/>
    <w:rsid w:val="005B58C6"/>
    <w:rsid w:val="005D6746"/>
    <w:rsid w:val="005E7A19"/>
    <w:rsid w:val="00615EE1"/>
    <w:rsid w:val="00623FC8"/>
    <w:rsid w:val="006267CE"/>
    <w:rsid w:val="0066295F"/>
    <w:rsid w:val="00666A1C"/>
    <w:rsid w:val="006703F1"/>
    <w:rsid w:val="00681CA5"/>
    <w:rsid w:val="006874E4"/>
    <w:rsid w:val="00695D5F"/>
    <w:rsid w:val="006A341F"/>
    <w:rsid w:val="006C12B1"/>
    <w:rsid w:val="006C452E"/>
    <w:rsid w:val="006E1358"/>
    <w:rsid w:val="006E7573"/>
    <w:rsid w:val="006F0CE9"/>
    <w:rsid w:val="006F3DA4"/>
    <w:rsid w:val="0070428A"/>
    <w:rsid w:val="007057E9"/>
    <w:rsid w:val="00724F47"/>
    <w:rsid w:val="00725E6C"/>
    <w:rsid w:val="00727BB3"/>
    <w:rsid w:val="007338ED"/>
    <w:rsid w:val="007725AB"/>
    <w:rsid w:val="0077712B"/>
    <w:rsid w:val="00787688"/>
    <w:rsid w:val="00791771"/>
    <w:rsid w:val="00792F1E"/>
    <w:rsid w:val="007B5852"/>
    <w:rsid w:val="007D5194"/>
    <w:rsid w:val="007F067E"/>
    <w:rsid w:val="007F4576"/>
    <w:rsid w:val="00806BC4"/>
    <w:rsid w:val="00817F23"/>
    <w:rsid w:val="00824CB2"/>
    <w:rsid w:val="00830F4C"/>
    <w:rsid w:val="00831C7A"/>
    <w:rsid w:val="00847937"/>
    <w:rsid w:val="00866BDF"/>
    <w:rsid w:val="00880A8D"/>
    <w:rsid w:val="008A7181"/>
    <w:rsid w:val="008B25A4"/>
    <w:rsid w:val="008D291C"/>
    <w:rsid w:val="008E14DE"/>
    <w:rsid w:val="008F44D9"/>
    <w:rsid w:val="008F5F62"/>
    <w:rsid w:val="00902643"/>
    <w:rsid w:val="00904713"/>
    <w:rsid w:val="009103F4"/>
    <w:rsid w:val="00917300"/>
    <w:rsid w:val="00934EC6"/>
    <w:rsid w:val="00953AC4"/>
    <w:rsid w:val="009703B1"/>
    <w:rsid w:val="00981E16"/>
    <w:rsid w:val="00987F7E"/>
    <w:rsid w:val="009A3D6C"/>
    <w:rsid w:val="009A43E4"/>
    <w:rsid w:val="009A6968"/>
    <w:rsid w:val="009B7614"/>
    <w:rsid w:val="009C650B"/>
    <w:rsid w:val="009C6F1F"/>
    <w:rsid w:val="009D00A1"/>
    <w:rsid w:val="009F3F44"/>
    <w:rsid w:val="00A009CD"/>
    <w:rsid w:val="00A00BD8"/>
    <w:rsid w:val="00A4171C"/>
    <w:rsid w:val="00A6260C"/>
    <w:rsid w:val="00A633F5"/>
    <w:rsid w:val="00A63DF4"/>
    <w:rsid w:val="00A75E3B"/>
    <w:rsid w:val="00A80CAC"/>
    <w:rsid w:val="00AB7791"/>
    <w:rsid w:val="00AC4879"/>
    <w:rsid w:val="00AF0DBF"/>
    <w:rsid w:val="00AF6428"/>
    <w:rsid w:val="00B218B4"/>
    <w:rsid w:val="00B333FF"/>
    <w:rsid w:val="00B4183E"/>
    <w:rsid w:val="00B54E08"/>
    <w:rsid w:val="00B60CFF"/>
    <w:rsid w:val="00B63616"/>
    <w:rsid w:val="00B66DDA"/>
    <w:rsid w:val="00B747A6"/>
    <w:rsid w:val="00B83B9D"/>
    <w:rsid w:val="00BC0F00"/>
    <w:rsid w:val="00BC1580"/>
    <w:rsid w:val="00BD2820"/>
    <w:rsid w:val="00BF4BFC"/>
    <w:rsid w:val="00C0030E"/>
    <w:rsid w:val="00C07DE6"/>
    <w:rsid w:val="00C71FAF"/>
    <w:rsid w:val="00C83DA1"/>
    <w:rsid w:val="00CA2EFF"/>
    <w:rsid w:val="00CA48F6"/>
    <w:rsid w:val="00CA5836"/>
    <w:rsid w:val="00CA5D27"/>
    <w:rsid w:val="00CB008A"/>
    <w:rsid w:val="00CB2F87"/>
    <w:rsid w:val="00CC32A8"/>
    <w:rsid w:val="00CD48F2"/>
    <w:rsid w:val="00D01530"/>
    <w:rsid w:val="00D10666"/>
    <w:rsid w:val="00D14259"/>
    <w:rsid w:val="00D349C7"/>
    <w:rsid w:val="00D35E80"/>
    <w:rsid w:val="00D51715"/>
    <w:rsid w:val="00D5719C"/>
    <w:rsid w:val="00D616BB"/>
    <w:rsid w:val="00D93E7E"/>
    <w:rsid w:val="00D94173"/>
    <w:rsid w:val="00D956C5"/>
    <w:rsid w:val="00DB1A7F"/>
    <w:rsid w:val="00DB2BC3"/>
    <w:rsid w:val="00DB755E"/>
    <w:rsid w:val="00DD5BFD"/>
    <w:rsid w:val="00DE1D25"/>
    <w:rsid w:val="00DF2E04"/>
    <w:rsid w:val="00E020DC"/>
    <w:rsid w:val="00E03A05"/>
    <w:rsid w:val="00E1071C"/>
    <w:rsid w:val="00E20F1F"/>
    <w:rsid w:val="00E254E9"/>
    <w:rsid w:val="00E4014D"/>
    <w:rsid w:val="00E42621"/>
    <w:rsid w:val="00E632DB"/>
    <w:rsid w:val="00E66CFD"/>
    <w:rsid w:val="00E77C95"/>
    <w:rsid w:val="00E853E4"/>
    <w:rsid w:val="00EB47CF"/>
    <w:rsid w:val="00EC4C8C"/>
    <w:rsid w:val="00EC4F2F"/>
    <w:rsid w:val="00ED66D7"/>
    <w:rsid w:val="00F202E2"/>
    <w:rsid w:val="00F51CAF"/>
    <w:rsid w:val="00F60655"/>
    <w:rsid w:val="00F67853"/>
    <w:rsid w:val="00F86019"/>
    <w:rsid w:val="00F90F53"/>
    <w:rsid w:val="00F97AEC"/>
    <w:rsid w:val="00FA5F3F"/>
    <w:rsid w:val="00FB0B4A"/>
    <w:rsid w:val="00FC429D"/>
    <w:rsid w:val="00FC6255"/>
    <w:rsid w:val="00FE0E25"/>
    <w:rsid w:val="00FE281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3813"/>
  <w15:docId w15:val="{55D8FC5A-F7C9-4F8C-B0A7-2DA5C6CD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unhideWhenUsed/>
    <w:rsid w:val="008E14DE"/>
  </w:style>
  <w:style w:type="character" w:customStyle="1" w:styleId="NotedefinCar">
    <w:name w:val="Note de fin Car"/>
    <w:basedOn w:val="Policepardfaut"/>
    <w:link w:val="Notedefin"/>
    <w:uiPriority w:val="99"/>
    <w:rsid w:val="008E14DE"/>
  </w:style>
  <w:style w:type="table" w:styleId="Grilledutableau">
    <w:name w:val="Table Grid"/>
    <w:basedOn w:val="TableauNormal"/>
    <w:uiPriority w:val="59"/>
    <w:rsid w:val="008E14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depage">
    <w:name w:val="footer"/>
    <w:basedOn w:val="Normal"/>
    <w:link w:val="PieddepageCar"/>
    <w:rsid w:val="00186B89"/>
    <w:pPr>
      <w:tabs>
        <w:tab w:val="center" w:pos="4320"/>
        <w:tab w:val="right" w:pos="8640"/>
      </w:tabs>
    </w:pPr>
  </w:style>
  <w:style w:type="character" w:customStyle="1" w:styleId="PieddepageCar">
    <w:name w:val="Pied de page Car"/>
    <w:basedOn w:val="Policepardfaut"/>
    <w:link w:val="Pieddepage"/>
    <w:rsid w:val="00186B89"/>
  </w:style>
  <w:style w:type="character" w:styleId="Numrodepage">
    <w:name w:val="page number"/>
    <w:basedOn w:val="Policepardfaut"/>
    <w:rsid w:val="00186B89"/>
  </w:style>
  <w:style w:type="paragraph" w:styleId="Textedebulles">
    <w:name w:val="Balloon Text"/>
    <w:basedOn w:val="Normal"/>
    <w:link w:val="TextedebullesCar"/>
    <w:rsid w:val="00FC429D"/>
    <w:rPr>
      <w:rFonts w:ascii="Lucida Grande" w:hAnsi="Lucida Grande"/>
      <w:sz w:val="18"/>
      <w:szCs w:val="18"/>
    </w:rPr>
  </w:style>
  <w:style w:type="character" w:customStyle="1" w:styleId="TextedebullesCar">
    <w:name w:val="Texte de bulles Car"/>
    <w:basedOn w:val="Policepardfaut"/>
    <w:link w:val="Textedebulles"/>
    <w:rsid w:val="00FC429D"/>
    <w:rPr>
      <w:rFonts w:ascii="Lucida Grande" w:hAnsi="Lucida Grande"/>
      <w:sz w:val="18"/>
      <w:szCs w:val="18"/>
    </w:rPr>
  </w:style>
  <w:style w:type="paragraph" w:styleId="Notedebasdepage">
    <w:name w:val="footnote text"/>
    <w:basedOn w:val="Normal"/>
    <w:link w:val="NotedebasdepageCar"/>
    <w:uiPriority w:val="99"/>
    <w:unhideWhenUsed/>
    <w:rsid w:val="004318A3"/>
    <w:rPr>
      <w:sz w:val="20"/>
      <w:szCs w:val="20"/>
      <w:lang w:val="en-CA"/>
    </w:rPr>
  </w:style>
  <w:style w:type="character" w:customStyle="1" w:styleId="NotedebasdepageCar">
    <w:name w:val="Note de bas de page Car"/>
    <w:basedOn w:val="Policepardfaut"/>
    <w:link w:val="Notedebasdepage"/>
    <w:uiPriority w:val="99"/>
    <w:rsid w:val="004318A3"/>
    <w:rPr>
      <w:sz w:val="20"/>
      <w:szCs w:val="20"/>
      <w:lang w:val="en-CA"/>
    </w:rPr>
  </w:style>
  <w:style w:type="table" w:styleId="Trameclaire-Accent3">
    <w:name w:val="Light Shading Accent 3"/>
    <w:basedOn w:val="TableauNormal"/>
    <w:rsid w:val="00B54E0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ausimple1">
    <w:name w:val="Table Simple 1"/>
    <w:basedOn w:val="TableauNormal"/>
    <w:rsid w:val="0013536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Pardeliste">
    <w:name w:val="List Paragraph"/>
    <w:basedOn w:val="Normal"/>
    <w:rsid w:val="006C12B1"/>
    <w:pPr>
      <w:ind w:left="720"/>
      <w:contextualSpacing/>
    </w:pPr>
  </w:style>
  <w:style w:type="character" w:styleId="Appelnotedebasdep">
    <w:name w:val="footnote reference"/>
    <w:basedOn w:val="Policepardfaut"/>
    <w:rsid w:val="002149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08272">
      <w:bodyDiv w:val="1"/>
      <w:marLeft w:val="0"/>
      <w:marRight w:val="0"/>
      <w:marTop w:val="0"/>
      <w:marBottom w:val="0"/>
      <w:divBdr>
        <w:top w:val="none" w:sz="0" w:space="0" w:color="auto"/>
        <w:left w:val="none" w:sz="0" w:space="0" w:color="auto"/>
        <w:bottom w:val="none" w:sz="0" w:space="0" w:color="auto"/>
        <w:right w:val="none" w:sz="0" w:space="0" w:color="auto"/>
      </w:divBdr>
    </w:div>
    <w:div w:id="610355331">
      <w:bodyDiv w:val="1"/>
      <w:marLeft w:val="0"/>
      <w:marRight w:val="0"/>
      <w:marTop w:val="0"/>
      <w:marBottom w:val="0"/>
      <w:divBdr>
        <w:top w:val="none" w:sz="0" w:space="0" w:color="auto"/>
        <w:left w:val="none" w:sz="0" w:space="0" w:color="auto"/>
        <w:bottom w:val="none" w:sz="0" w:space="0" w:color="auto"/>
        <w:right w:val="none" w:sz="0" w:space="0" w:color="auto"/>
      </w:divBdr>
    </w:div>
    <w:div w:id="637498299">
      <w:bodyDiv w:val="1"/>
      <w:marLeft w:val="0"/>
      <w:marRight w:val="0"/>
      <w:marTop w:val="0"/>
      <w:marBottom w:val="0"/>
      <w:divBdr>
        <w:top w:val="none" w:sz="0" w:space="0" w:color="auto"/>
        <w:left w:val="none" w:sz="0" w:space="0" w:color="auto"/>
        <w:bottom w:val="none" w:sz="0" w:space="0" w:color="auto"/>
        <w:right w:val="none" w:sz="0" w:space="0" w:color="auto"/>
      </w:divBdr>
    </w:div>
    <w:div w:id="1047528425">
      <w:bodyDiv w:val="1"/>
      <w:marLeft w:val="0"/>
      <w:marRight w:val="0"/>
      <w:marTop w:val="0"/>
      <w:marBottom w:val="0"/>
      <w:divBdr>
        <w:top w:val="none" w:sz="0" w:space="0" w:color="auto"/>
        <w:left w:val="none" w:sz="0" w:space="0" w:color="auto"/>
        <w:bottom w:val="none" w:sz="0" w:space="0" w:color="auto"/>
        <w:right w:val="none" w:sz="0" w:space="0" w:color="auto"/>
      </w:divBdr>
    </w:div>
    <w:div w:id="1077480114">
      <w:bodyDiv w:val="1"/>
      <w:marLeft w:val="0"/>
      <w:marRight w:val="0"/>
      <w:marTop w:val="0"/>
      <w:marBottom w:val="0"/>
      <w:divBdr>
        <w:top w:val="none" w:sz="0" w:space="0" w:color="auto"/>
        <w:left w:val="none" w:sz="0" w:space="0" w:color="auto"/>
        <w:bottom w:val="none" w:sz="0" w:space="0" w:color="auto"/>
        <w:right w:val="none" w:sz="0" w:space="0" w:color="auto"/>
      </w:divBdr>
    </w:div>
    <w:div w:id="1244878851">
      <w:bodyDiv w:val="1"/>
      <w:marLeft w:val="0"/>
      <w:marRight w:val="0"/>
      <w:marTop w:val="0"/>
      <w:marBottom w:val="0"/>
      <w:divBdr>
        <w:top w:val="none" w:sz="0" w:space="0" w:color="auto"/>
        <w:left w:val="none" w:sz="0" w:space="0" w:color="auto"/>
        <w:bottom w:val="none" w:sz="0" w:space="0" w:color="auto"/>
        <w:right w:val="none" w:sz="0" w:space="0" w:color="auto"/>
      </w:divBdr>
    </w:div>
    <w:div w:id="1293751173">
      <w:bodyDiv w:val="1"/>
      <w:marLeft w:val="0"/>
      <w:marRight w:val="0"/>
      <w:marTop w:val="0"/>
      <w:marBottom w:val="0"/>
      <w:divBdr>
        <w:top w:val="none" w:sz="0" w:space="0" w:color="auto"/>
        <w:left w:val="none" w:sz="0" w:space="0" w:color="auto"/>
        <w:bottom w:val="none" w:sz="0" w:space="0" w:color="auto"/>
        <w:right w:val="none" w:sz="0" w:space="0" w:color="auto"/>
      </w:divBdr>
    </w:div>
    <w:div w:id="1302228571">
      <w:bodyDiv w:val="1"/>
      <w:marLeft w:val="0"/>
      <w:marRight w:val="0"/>
      <w:marTop w:val="0"/>
      <w:marBottom w:val="0"/>
      <w:divBdr>
        <w:top w:val="none" w:sz="0" w:space="0" w:color="auto"/>
        <w:left w:val="none" w:sz="0" w:space="0" w:color="auto"/>
        <w:bottom w:val="none" w:sz="0" w:space="0" w:color="auto"/>
        <w:right w:val="none" w:sz="0" w:space="0" w:color="auto"/>
      </w:divBdr>
      <w:divsChild>
        <w:div w:id="1493523457">
          <w:marLeft w:val="360"/>
          <w:marRight w:val="0"/>
          <w:marTop w:val="0"/>
          <w:marBottom w:val="0"/>
          <w:divBdr>
            <w:top w:val="none" w:sz="0" w:space="0" w:color="auto"/>
            <w:left w:val="none" w:sz="0" w:space="0" w:color="auto"/>
            <w:bottom w:val="none" w:sz="0" w:space="0" w:color="auto"/>
            <w:right w:val="none" w:sz="0" w:space="0" w:color="auto"/>
          </w:divBdr>
        </w:div>
        <w:div w:id="680359563">
          <w:marLeft w:val="720"/>
          <w:marRight w:val="0"/>
          <w:marTop w:val="0"/>
          <w:marBottom w:val="0"/>
          <w:divBdr>
            <w:top w:val="none" w:sz="0" w:space="0" w:color="auto"/>
            <w:left w:val="none" w:sz="0" w:space="0" w:color="auto"/>
            <w:bottom w:val="none" w:sz="0" w:space="0" w:color="auto"/>
            <w:right w:val="none" w:sz="0" w:space="0" w:color="auto"/>
          </w:divBdr>
        </w:div>
        <w:div w:id="1520005617">
          <w:marLeft w:val="360"/>
          <w:marRight w:val="0"/>
          <w:marTop w:val="0"/>
          <w:marBottom w:val="0"/>
          <w:divBdr>
            <w:top w:val="none" w:sz="0" w:space="0" w:color="auto"/>
            <w:left w:val="none" w:sz="0" w:space="0" w:color="auto"/>
            <w:bottom w:val="none" w:sz="0" w:space="0" w:color="auto"/>
            <w:right w:val="none" w:sz="0" w:space="0" w:color="auto"/>
          </w:divBdr>
        </w:div>
        <w:div w:id="1456680986">
          <w:marLeft w:val="720"/>
          <w:marRight w:val="0"/>
          <w:marTop w:val="0"/>
          <w:marBottom w:val="0"/>
          <w:divBdr>
            <w:top w:val="none" w:sz="0" w:space="0" w:color="auto"/>
            <w:left w:val="none" w:sz="0" w:space="0" w:color="auto"/>
            <w:bottom w:val="none" w:sz="0" w:space="0" w:color="auto"/>
            <w:right w:val="none" w:sz="0" w:space="0" w:color="auto"/>
          </w:divBdr>
        </w:div>
        <w:div w:id="1750693167">
          <w:marLeft w:val="720"/>
          <w:marRight w:val="0"/>
          <w:marTop w:val="0"/>
          <w:marBottom w:val="0"/>
          <w:divBdr>
            <w:top w:val="none" w:sz="0" w:space="0" w:color="auto"/>
            <w:left w:val="none" w:sz="0" w:space="0" w:color="auto"/>
            <w:bottom w:val="none" w:sz="0" w:space="0" w:color="auto"/>
            <w:right w:val="none" w:sz="0" w:space="0" w:color="auto"/>
          </w:divBdr>
        </w:div>
        <w:div w:id="961152252">
          <w:marLeft w:val="1080"/>
          <w:marRight w:val="0"/>
          <w:marTop w:val="0"/>
          <w:marBottom w:val="0"/>
          <w:divBdr>
            <w:top w:val="none" w:sz="0" w:space="0" w:color="auto"/>
            <w:left w:val="none" w:sz="0" w:space="0" w:color="auto"/>
            <w:bottom w:val="none" w:sz="0" w:space="0" w:color="auto"/>
            <w:right w:val="none" w:sz="0" w:space="0" w:color="auto"/>
          </w:divBdr>
        </w:div>
        <w:div w:id="908033398">
          <w:marLeft w:val="1080"/>
          <w:marRight w:val="0"/>
          <w:marTop w:val="0"/>
          <w:marBottom w:val="0"/>
          <w:divBdr>
            <w:top w:val="none" w:sz="0" w:space="0" w:color="auto"/>
            <w:left w:val="none" w:sz="0" w:space="0" w:color="auto"/>
            <w:bottom w:val="none" w:sz="0" w:space="0" w:color="auto"/>
            <w:right w:val="none" w:sz="0" w:space="0" w:color="auto"/>
          </w:divBdr>
        </w:div>
        <w:div w:id="1074545077">
          <w:marLeft w:val="360"/>
          <w:marRight w:val="0"/>
          <w:marTop w:val="0"/>
          <w:marBottom w:val="0"/>
          <w:divBdr>
            <w:top w:val="none" w:sz="0" w:space="0" w:color="auto"/>
            <w:left w:val="none" w:sz="0" w:space="0" w:color="auto"/>
            <w:bottom w:val="none" w:sz="0" w:space="0" w:color="auto"/>
            <w:right w:val="none" w:sz="0" w:space="0" w:color="auto"/>
          </w:divBdr>
        </w:div>
      </w:divsChild>
    </w:div>
    <w:div w:id="1649244110">
      <w:bodyDiv w:val="1"/>
      <w:marLeft w:val="0"/>
      <w:marRight w:val="0"/>
      <w:marTop w:val="0"/>
      <w:marBottom w:val="0"/>
      <w:divBdr>
        <w:top w:val="none" w:sz="0" w:space="0" w:color="auto"/>
        <w:left w:val="none" w:sz="0" w:space="0" w:color="auto"/>
        <w:bottom w:val="none" w:sz="0" w:space="0" w:color="auto"/>
        <w:right w:val="none" w:sz="0" w:space="0" w:color="auto"/>
      </w:divBdr>
    </w:div>
    <w:div w:id="1722898387">
      <w:bodyDiv w:val="1"/>
      <w:marLeft w:val="0"/>
      <w:marRight w:val="0"/>
      <w:marTop w:val="0"/>
      <w:marBottom w:val="0"/>
      <w:divBdr>
        <w:top w:val="none" w:sz="0" w:space="0" w:color="auto"/>
        <w:left w:val="none" w:sz="0" w:space="0" w:color="auto"/>
        <w:bottom w:val="none" w:sz="0" w:space="0" w:color="auto"/>
        <w:right w:val="none" w:sz="0" w:space="0" w:color="auto"/>
      </w:divBdr>
    </w:div>
    <w:div w:id="18832065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thelaptop:Desktop:Presentations:DM%20CAO%20Presentation:DMCAO:Data%20Files:Canada%20Survey%20Excel%20201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CA"/>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percentStacked"/>
        <c:varyColors val="0"/>
        <c:ser>
          <c:idx val="0"/>
          <c:order val="0"/>
          <c:tx>
            <c:strRef>
              <c:f>'Question 9'!$C$93</c:f>
              <c:strCache>
                <c:ptCount val="1"/>
                <c:pt idx="0">
                  <c:v>Never</c:v>
                </c:pt>
              </c:strCache>
            </c:strRef>
          </c:tx>
          <c:invertIfNegative val="0"/>
          <c:dLbls>
            <c:dLbl>
              <c:idx val="0"/>
              <c:layout>
                <c:manualLayout>
                  <c:x val="0.0101317122593718"/>
                  <c:y val="-0.00658539937575371"/>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CA"/>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'Question 9'!$B$94:$B$102</c:f>
              <c:strCache>
                <c:ptCount val="9"/>
                <c:pt idx="0">
                  <c:v>Utilize academic research (e.g., peer reviewed articles, books, reports)</c:v>
                </c:pt>
                <c:pt idx="1">
                  <c:v>Invite academics to serve on boards, panels, or committees</c:v>
                </c:pt>
                <c:pt idx="2">
                  <c:v>Participate in meetings that discussed academic research</c:v>
                </c:pt>
                <c:pt idx="3">
                  <c:v>Attend workshop/training session led by academics</c:v>
                </c:pt>
                <c:pt idx="4">
                  <c:v>Commission academic research reports from policy and public administration schools/programs</c:v>
                </c:pt>
                <c:pt idx="5">
                  <c:v>Seek informal advice from members of these institutions</c:v>
                </c:pt>
                <c:pt idx="6">
                  <c:v>Participate in a network with members of research institutions</c:v>
                </c:pt>
                <c:pt idx="7">
                  <c:v>Sit on a panel, roundtable, etc. with members of research institutions</c:v>
                </c:pt>
                <c:pt idx="8">
                  <c:v>Second personnel to (or from) an academic or research institution</c:v>
                </c:pt>
              </c:strCache>
            </c:strRef>
          </c:cat>
          <c:val>
            <c:numRef>
              <c:f>'Question 9'!$C$94:$C$102</c:f>
              <c:numCache>
                <c:formatCode>0%</c:formatCode>
                <c:ptCount val="9"/>
                <c:pt idx="0">
                  <c:v>0.0238095238095238</c:v>
                </c:pt>
                <c:pt idx="1">
                  <c:v>0.130952380952381</c:v>
                </c:pt>
                <c:pt idx="2">
                  <c:v>0.0654761904761905</c:v>
                </c:pt>
                <c:pt idx="3">
                  <c:v>0.0598802395209581</c:v>
                </c:pt>
                <c:pt idx="4">
                  <c:v>0.161676646706587</c:v>
                </c:pt>
                <c:pt idx="5">
                  <c:v>0.0654761904761905</c:v>
                </c:pt>
                <c:pt idx="6">
                  <c:v>0.11377245508982</c:v>
                </c:pt>
                <c:pt idx="7">
                  <c:v>0.178571428571429</c:v>
                </c:pt>
                <c:pt idx="8">
                  <c:v>0.392857142857143</c:v>
                </c:pt>
              </c:numCache>
            </c:numRef>
          </c:val>
        </c:ser>
        <c:ser>
          <c:idx val="1"/>
          <c:order val="1"/>
          <c:tx>
            <c:strRef>
              <c:f>'Question 9'!$D$93</c:f>
              <c:strCache>
                <c:ptCount val="1"/>
                <c:pt idx="0">
                  <c:v>Seldom (not more than twice per year) </c:v>
                </c:pt>
              </c:strCache>
            </c:strRef>
          </c:tx>
          <c:invertIfNegative val="0"/>
          <c:dLbls>
            <c:spPr>
              <a:noFill/>
              <a:ln>
                <a:noFill/>
              </a:ln>
              <a:effectLst/>
            </c:spPr>
            <c:txPr>
              <a:bodyPr/>
              <a:lstStyle/>
              <a:p>
                <a:pPr>
                  <a:defRPr lang="en-CA"/>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'Question 9'!$B$94:$B$102</c:f>
              <c:strCache>
                <c:ptCount val="9"/>
                <c:pt idx="0">
                  <c:v>Utilize academic research (e.g., peer reviewed articles, books, reports)</c:v>
                </c:pt>
                <c:pt idx="1">
                  <c:v>Invite academics to serve on boards, panels, or committees</c:v>
                </c:pt>
                <c:pt idx="2">
                  <c:v>Participate in meetings that discussed academic research</c:v>
                </c:pt>
                <c:pt idx="3">
                  <c:v>Attend workshop/training session led by academics</c:v>
                </c:pt>
                <c:pt idx="4">
                  <c:v>Commission academic research reports from policy and public administration schools/programs</c:v>
                </c:pt>
                <c:pt idx="5">
                  <c:v>Seek informal advice from members of these institutions</c:v>
                </c:pt>
                <c:pt idx="6">
                  <c:v>Participate in a network with members of research institutions</c:v>
                </c:pt>
                <c:pt idx="7">
                  <c:v>Sit on a panel, roundtable, etc. with members of research institutions</c:v>
                </c:pt>
                <c:pt idx="8">
                  <c:v>Second personnel to (or from) an academic or research institution</c:v>
                </c:pt>
              </c:strCache>
            </c:strRef>
          </c:cat>
          <c:val>
            <c:numRef>
              <c:f>'Question 9'!$D$94:$D$102</c:f>
              <c:numCache>
                <c:formatCode>0%</c:formatCode>
                <c:ptCount val="9"/>
                <c:pt idx="0">
                  <c:v>0.148809523809524</c:v>
                </c:pt>
                <c:pt idx="1">
                  <c:v>0.255952380952381</c:v>
                </c:pt>
                <c:pt idx="2">
                  <c:v>0.303571428571429</c:v>
                </c:pt>
                <c:pt idx="3">
                  <c:v>0.287425149700599</c:v>
                </c:pt>
                <c:pt idx="4">
                  <c:v>0.413173652694611</c:v>
                </c:pt>
                <c:pt idx="5">
                  <c:v>0.297619047619048</c:v>
                </c:pt>
                <c:pt idx="6">
                  <c:v>0.329341317365269</c:v>
                </c:pt>
                <c:pt idx="7">
                  <c:v>0.31547619047619</c:v>
                </c:pt>
                <c:pt idx="8">
                  <c:v>0.345238095238095</c:v>
                </c:pt>
              </c:numCache>
            </c:numRef>
          </c:val>
        </c:ser>
        <c:ser>
          <c:idx val="2"/>
          <c:order val="2"/>
          <c:tx>
            <c:strRef>
              <c:f>'Question 9'!$E$93</c:f>
              <c:strCache>
                <c:ptCount val="1"/>
                <c:pt idx="0">
                  <c:v>Occasionally (at least every three months)</c:v>
                </c:pt>
              </c:strCache>
            </c:strRef>
          </c:tx>
          <c:invertIfNegative val="0"/>
          <c:dLbls>
            <c:spPr>
              <a:noFill/>
              <a:ln>
                <a:noFill/>
              </a:ln>
              <a:effectLst/>
            </c:spPr>
            <c:txPr>
              <a:bodyPr/>
              <a:lstStyle/>
              <a:p>
                <a:pPr>
                  <a:defRPr lang="en-CA"/>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'Question 9'!$B$94:$B$102</c:f>
              <c:strCache>
                <c:ptCount val="9"/>
                <c:pt idx="0">
                  <c:v>Utilize academic research (e.g., peer reviewed articles, books, reports)</c:v>
                </c:pt>
                <c:pt idx="1">
                  <c:v>Invite academics to serve on boards, panels, or committees</c:v>
                </c:pt>
                <c:pt idx="2">
                  <c:v>Participate in meetings that discussed academic research</c:v>
                </c:pt>
                <c:pt idx="3">
                  <c:v>Attend workshop/training session led by academics</c:v>
                </c:pt>
                <c:pt idx="4">
                  <c:v>Commission academic research reports from policy and public administration schools/programs</c:v>
                </c:pt>
                <c:pt idx="5">
                  <c:v>Seek informal advice from members of these institutions</c:v>
                </c:pt>
                <c:pt idx="6">
                  <c:v>Participate in a network with members of research institutions</c:v>
                </c:pt>
                <c:pt idx="7">
                  <c:v>Sit on a panel, roundtable, etc. with members of research institutions</c:v>
                </c:pt>
                <c:pt idx="8">
                  <c:v>Second personnel to (or from) an academic or research institution</c:v>
                </c:pt>
              </c:strCache>
            </c:strRef>
          </c:cat>
          <c:val>
            <c:numRef>
              <c:f>'Question 9'!$E$94:$E$102</c:f>
              <c:numCache>
                <c:formatCode>0%</c:formatCode>
                <c:ptCount val="9"/>
                <c:pt idx="0">
                  <c:v>0.386904761904762</c:v>
                </c:pt>
                <c:pt idx="1">
                  <c:v>0.357142857142857</c:v>
                </c:pt>
                <c:pt idx="2">
                  <c:v>0.285714285714286</c:v>
                </c:pt>
                <c:pt idx="3">
                  <c:v>0.389221556886227</c:v>
                </c:pt>
                <c:pt idx="4">
                  <c:v>0.269461077844311</c:v>
                </c:pt>
                <c:pt idx="5">
                  <c:v>0.303571428571429</c:v>
                </c:pt>
                <c:pt idx="6">
                  <c:v>0.287425149700599</c:v>
                </c:pt>
                <c:pt idx="7">
                  <c:v>0.297619047619048</c:v>
                </c:pt>
                <c:pt idx="8">
                  <c:v>0.18452380952381</c:v>
                </c:pt>
              </c:numCache>
            </c:numRef>
          </c:val>
        </c:ser>
        <c:ser>
          <c:idx val="3"/>
          <c:order val="3"/>
          <c:tx>
            <c:strRef>
              <c:f>'Question 9'!$F$93</c:f>
              <c:strCache>
                <c:ptCount val="1"/>
                <c:pt idx="0">
                  <c:v>Often (at least every month)</c:v>
                </c:pt>
              </c:strCache>
            </c:strRef>
          </c:tx>
          <c:invertIfNegative val="0"/>
          <c:dLbls>
            <c:dLbl>
              <c:idx val="8"/>
              <c:layout>
                <c:manualLayout>
                  <c:x val="0.00168918918918931"/>
                  <c:y val="-0.0498001842406613"/>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CA"/>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'Question 9'!$B$94:$B$102</c:f>
              <c:strCache>
                <c:ptCount val="9"/>
                <c:pt idx="0">
                  <c:v>Utilize academic research (e.g., peer reviewed articles, books, reports)</c:v>
                </c:pt>
                <c:pt idx="1">
                  <c:v>Invite academics to serve on boards, panels, or committees</c:v>
                </c:pt>
                <c:pt idx="2">
                  <c:v>Participate in meetings that discussed academic research</c:v>
                </c:pt>
                <c:pt idx="3">
                  <c:v>Attend workshop/training session led by academics</c:v>
                </c:pt>
                <c:pt idx="4">
                  <c:v>Commission academic research reports from policy and public administration schools/programs</c:v>
                </c:pt>
                <c:pt idx="5">
                  <c:v>Seek informal advice from members of these institutions</c:v>
                </c:pt>
                <c:pt idx="6">
                  <c:v>Participate in a network with members of research institutions</c:v>
                </c:pt>
                <c:pt idx="7">
                  <c:v>Sit on a panel, roundtable, etc. with members of research institutions</c:v>
                </c:pt>
                <c:pt idx="8">
                  <c:v>Second personnel to (or from) an academic or research institution</c:v>
                </c:pt>
              </c:strCache>
            </c:strRef>
          </c:cat>
          <c:val>
            <c:numRef>
              <c:f>'Question 9'!$F$94:$F$102</c:f>
              <c:numCache>
                <c:formatCode>0%</c:formatCode>
                <c:ptCount val="9"/>
                <c:pt idx="0">
                  <c:v>0.273809523809524</c:v>
                </c:pt>
                <c:pt idx="1">
                  <c:v>0.202380952380952</c:v>
                </c:pt>
                <c:pt idx="2">
                  <c:v>0.255952380952381</c:v>
                </c:pt>
                <c:pt idx="3">
                  <c:v>0.173652694610778</c:v>
                </c:pt>
                <c:pt idx="4">
                  <c:v>0.107784431137725</c:v>
                </c:pt>
                <c:pt idx="5">
                  <c:v>0.232142857142857</c:v>
                </c:pt>
                <c:pt idx="6">
                  <c:v>0.155688622754491</c:v>
                </c:pt>
                <c:pt idx="7">
                  <c:v>0.142857142857143</c:v>
                </c:pt>
                <c:pt idx="8">
                  <c:v>0.0416666666666667</c:v>
                </c:pt>
              </c:numCache>
            </c:numRef>
          </c:val>
        </c:ser>
        <c:ser>
          <c:idx val="4"/>
          <c:order val="4"/>
          <c:tx>
            <c:strRef>
              <c:f>'Question 9'!$G$93</c:f>
              <c:strCache>
                <c:ptCount val="1"/>
                <c:pt idx="0">
                  <c:v>Very Often (more than twice per month)</c:v>
                </c:pt>
              </c:strCache>
            </c:strRef>
          </c:tx>
          <c:invertIfNegative val="0"/>
          <c:dLbls>
            <c:dLbl>
              <c:idx val="8"/>
              <c:layout>
                <c:manualLayout>
                  <c:x val="0.00168918918918931"/>
                  <c:y val="0.015913426843044"/>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CA"/>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'Question 9'!$B$94:$B$102</c:f>
              <c:strCache>
                <c:ptCount val="9"/>
                <c:pt idx="0">
                  <c:v>Utilize academic research (e.g., peer reviewed articles, books, reports)</c:v>
                </c:pt>
                <c:pt idx="1">
                  <c:v>Invite academics to serve on boards, panels, or committees</c:v>
                </c:pt>
                <c:pt idx="2">
                  <c:v>Participate in meetings that discussed academic research</c:v>
                </c:pt>
                <c:pt idx="3">
                  <c:v>Attend workshop/training session led by academics</c:v>
                </c:pt>
                <c:pt idx="4">
                  <c:v>Commission academic research reports from policy and public administration schools/programs</c:v>
                </c:pt>
                <c:pt idx="5">
                  <c:v>Seek informal advice from members of these institutions</c:v>
                </c:pt>
                <c:pt idx="6">
                  <c:v>Participate in a network with members of research institutions</c:v>
                </c:pt>
                <c:pt idx="7">
                  <c:v>Sit on a panel, roundtable, etc. with members of research institutions</c:v>
                </c:pt>
                <c:pt idx="8">
                  <c:v>Second personnel to (or from) an academic or research institution</c:v>
                </c:pt>
              </c:strCache>
            </c:strRef>
          </c:cat>
          <c:val>
            <c:numRef>
              <c:f>'Question 9'!$G$94:$G$102</c:f>
              <c:numCache>
                <c:formatCode>0%</c:formatCode>
                <c:ptCount val="9"/>
                <c:pt idx="0">
                  <c:v>0.166666666666667</c:v>
                </c:pt>
                <c:pt idx="1">
                  <c:v>0.0535714285714286</c:v>
                </c:pt>
                <c:pt idx="2">
                  <c:v>0.0892857142857143</c:v>
                </c:pt>
                <c:pt idx="3">
                  <c:v>0.0898203592814371</c:v>
                </c:pt>
                <c:pt idx="4">
                  <c:v>0.0479041916167665</c:v>
                </c:pt>
                <c:pt idx="5">
                  <c:v>0.101190476190476</c:v>
                </c:pt>
                <c:pt idx="6">
                  <c:v>0.11377245508982</c:v>
                </c:pt>
                <c:pt idx="7">
                  <c:v>0.0654761904761905</c:v>
                </c:pt>
                <c:pt idx="8">
                  <c:v>0.0357142857142857</c:v>
                </c:pt>
              </c:numCache>
            </c:numRef>
          </c:val>
        </c:ser>
        <c:dLbls>
          <c:showLegendKey val="0"/>
          <c:showVal val="1"/>
          <c:showCatName val="0"/>
          <c:showSerName val="0"/>
          <c:showPercent val="0"/>
          <c:showBubbleSize val="0"/>
        </c:dLbls>
        <c:gapWidth val="150"/>
        <c:overlap val="100"/>
        <c:axId val="-2113650304"/>
        <c:axId val="2138088288"/>
      </c:barChart>
      <c:catAx>
        <c:axId val="-2113650304"/>
        <c:scaling>
          <c:orientation val="minMax"/>
        </c:scaling>
        <c:delete val="0"/>
        <c:axPos val="b"/>
        <c:numFmt formatCode="General" sourceLinked="0"/>
        <c:majorTickMark val="out"/>
        <c:minorTickMark val="none"/>
        <c:tickLblPos val="nextTo"/>
        <c:txPr>
          <a:bodyPr/>
          <a:lstStyle/>
          <a:p>
            <a:pPr>
              <a:defRPr lang="en-CA" sz="700"/>
            </a:pPr>
            <a:endParaRPr lang="fr-FR"/>
          </a:p>
        </c:txPr>
        <c:crossAx val="2138088288"/>
        <c:crosses val="autoZero"/>
        <c:auto val="1"/>
        <c:lblAlgn val="ctr"/>
        <c:lblOffset val="100"/>
        <c:noMultiLvlLbl val="0"/>
      </c:catAx>
      <c:valAx>
        <c:axId val="2138088288"/>
        <c:scaling>
          <c:orientation val="minMax"/>
        </c:scaling>
        <c:delete val="0"/>
        <c:axPos val="l"/>
        <c:majorGridlines/>
        <c:numFmt formatCode="0%" sourceLinked="1"/>
        <c:majorTickMark val="out"/>
        <c:minorTickMark val="none"/>
        <c:tickLblPos val="nextTo"/>
        <c:txPr>
          <a:bodyPr/>
          <a:lstStyle/>
          <a:p>
            <a:pPr>
              <a:defRPr lang="en-CA"/>
            </a:pPr>
            <a:endParaRPr lang="fr-FR"/>
          </a:p>
        </c:txPr>
        <c:crossAx val="-2113650304"/>
        <c:crosses val="autoZero"/>
        <c:crossBetween val="between"/>
      </c:valAx>
    </c:plotArea>
    <c:legend>
      <c:legendPos val="b"/>
      <c:overlay val="0"/>
      <c:txPr>
        <a:bodyPr/>
        <a:lstStyle/>
        <a:p>
          <a:pPr>
            <a:defRPr lang="en-CA"/>
          </a:pPr>
          <a:endParaRPr lang="fr-FR"/>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4BE64-DECC-644D-A300-A09A82F3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5713</Words>
  <Characters>31425</Characters>
  <Application>Microsoft Macintosh Word</Application>
  <DocSecurity>0</DocSecurity>
  <Lines>261</Lines>
  <Paragraphs>74</Paragraphs>
  <ScaleCrop>false</ScaleCrop>
  <HeadingPairs>
    <vt:vector size="2" baseType="variant">
      <vt:variant>
        <vt:lpstr>Title</vt:lpstr>
      </vt:variant>
      <vt:variant>
        <vt:i4>1</vt:i4>
      </vt:variant>
    </vt:vector>
  </HeadingPairs>
  <TitlesOfParts>
    <vt:vector size="1" baseType="lpstr">
      <vt:lpstr/>
    </vt:vector>
  </TitlesOfParts>
  <Company>SFU</Company>
  <LinksUpToDate>false</LinksUpToDate>
  <CharactersWithSpaces>37064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Migone</dc:creator>
  <cp:lastModifiedBy>Savard, Jean-François</cp:lastModifiedBy>
  <cp:revision>2</cp:revision>
  <cp:lastPrinted>2015-07-20T15:33:00Z</cp:lastPrinted>
  <dcterms:created xsi:type="dcterms:W3CDTF">2016-05-13T20:39:00Z</dcterms:created>
  <dcterms:modified xsi:type="dcterms:W3CDTF">2016-05-13T20:39:00Z</dcterms:modified>
</cp:coreProperties>
</file>